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AC66DC">
        <w:rPr>
          <w:rFonts w:ascii="Palatino Linotype" w:eastAsia="Calibri" w:hAnsi="Palatino Linotype" w:cs="Arial"/>
          <w:b/>
          <w:sz w:val="24"/>
          <w:szCs w:val="24"/>
        </w:rPr>
        <w:t>02157</w:t>
      </w:r>
      <w:r w:rsidR="00835E85">
        <w:rPr>
          <w:rFonts w:ascii="Palatino Linotype" w:eastAsia="Calibri" w:hAnsi="Palatino Linotype" w:cs="Arial"/>
          <w:b/>
          <w:sz w:val="24"/>
          <w:szCs w:val="24"/>
        </w:rPr>
        <w:t>/INFOEM/IP/RR/2019</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Default="00FE083B" w:rsidP="00FE083B">
      <w:pPr>
        <w:spacing w:line="360" w:lineRule="auto"/>
        <w:jc w:val="both"/>
        <w:rPr>
          <w:rFonts w:ascii="Palatino Linotype" w:hAnsi="Palatino Linotype" w:cs="Arial"/>
        </w:rPr>
      </w:pPr>
    </w:p>
    <w:p w:rsidR="00FE083B" w:rsidRDefault="00FE083B" w:rsidP="00FE083B">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FE083B" w:rsidRDefault="00FE083B" w:rsidP="00FE083B">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FE083B" w:rsidRDefault="00FE083B" w:rsidP="00FE083B">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9219A8" w:rsidRDefault="009C382C">
          <w:pPr>
            <w:pStyle w:val="TDC1"/>
            <w:rPr>
              <w:rFonts w:eastAsiaTheme="minorEastAsia"/>
              <w:noProof/>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11862020" w:history="1">
            <w:r w:rsidR="009219A8" w:rsidRPr="00207CF2">
              <w:rPr>
                <w:rStyle w:val="Hipervnculo"/>
                <w:rFonts w:ascii="Palatino Linotype" w:eastAsia="Times New Roman" w:hAnsi="Palatino Linotype"/>
                <w:b/>
                <w:noProof/>
              </w:rPr>
              <w:t>I.</w:t>
            </w:r>
            <w:r w:rsidR="009219A8">
              <w:rPr>
                <w:rFonts w:eastAsiaTheme="minorEastAsia"/>
                <w:noProof/>
                <w:lang w:eastAsia="es-MX"/>
              </w:rPr>
              <w:tab/>
            </w:r>
            <w:r w:rsidR="009219A8" w:rsidRPr="00207CF2">
              <w:rPr>
                <w:rStyle w:val="Hipervnculo"/>
                <w:rFonts w:ascii="Palatino Linotype" w:eastAsia="Times New Roman" w:hAnsi="Palatino Linotype"/>
                <w:b/>
                <w:noProof/>
              </w:rPr>
              <w:t>Consideraciones Generales</w:t>
            </w:r>
            <w:r w:rsidR="009219A8">
              <w:rPr>
                <w:noProof/>
                <w:webHidden/>
              </w:rPr>
              <w:tab/>
            </w:r>
            <w:r w:rsidR="009219A8">
              <w:rPr>
                <w:noProof/>
                <w:webHidden/>
              </w:rPr>
              <w:fldChar w:fldCharType="begin"/>
            </w:r>
            <w:r w:rsidR="009219A8">
              <w:rPr>
                <w:noProof/>
                <w:webHidden/>
              </w:rPr>
              <w:instrText xml:space="preserve"> PAGEREF _Toc11862020 \h </w:instrText>
            </w:r>
            <w:r w:rsidR="009219A8">
              <w:rPr>
                <w:noProof/>
                <w:webHidden/>
              </w:rPr>
            </w:r>
            <w:r w:rsidR="009219A8">
              <w:rPr>
                <w:noProof/>
                <w:webHidden/>
              </w:rPr>
              <w:fldChar w:fldCharType="separate"/>
            </w:r>
            <w:r w:rsidR="009219A8">
              <w:rPr>
                <w:noProof/>
                <w:webHidden/>
              </w:rPr>
              <w:t>3</w:t>
            </w:r>
            <w:r w:rsidR="009219A8">
              <w:rPr>
                <w:noProof/>
                <w:webHidden/>
              </w:rPr>
              <w:fldChar w:fldCharType="end"/>
            </w:r>
          </w:hyperlink>
        </w:p>
        <w:p w:rsidR="009219A8" w:rsidRDefault="0000434E">
          <w:pPr>
            <w:pStyle w:val="TDC1"/>
            <w:rPr>
              <w:rFonts w:eastAsiaTheme="minorEastAsia"/>
              <w:noProof/>
              <w:lang w:eastAsia="es-MX"/>
            </w:rPr>
          </w:pPr>
          <w:hyperlink w:anchor="_Toc11862021" w:history="1">
            <w:r w:rsidR="009219A8" w:rsidRPr="00207CF2">
              <w:rPr>
                <w:rStyle w:val="Hipervnculo"/>
                <w:rFonts w:ascii="Palatino Linotype" w:eastAsia="Calibri" w:hAnsi="Palatino Linotype"/>
                <w:b/>
                <w:noProof/>
                <w:lang w:val="es-ES"/>
              </w:rPr>
              <w:t>II.</w:t>
            </w:r>
            <w:r w:rsidR="009219A8">
              <w:rPr>
                <w:rFonts w:eastAsiaTheme="minorEastAsia"/>
                <w:noProof/>
                <w:lang w:eastAsia="es-MX"/>
              </w:rPr>
              <w:tab/>
            </w:r>
            <w:r w:rsidR="009219A8" w:rsidRPr="00207CF2">
              <w:rPr>
                <w:rStyle w:val="Hipervnculo"/>
                <w:rFonts w:ascii="Palatino Linotype" w:eastAsia="Calibri" w:hAnsi="Palatino Linotype"/>
                <w:b/>
                <w:noProof/>
                <w:lang w:val="es-ES"/>
              </w:rPr>
              <w:t>De los requerimientos planteados en el recurso de revisión.</w:t>
            </w:r>
            <w:r w:rsidR="009219A8">
              <w:rPr>
                <w:noProof/>
                <w:webHidden/>
              </w:rPr>
              <w:tab/>
            </w:r>
            <w:r w:rsidR="009219A8">
              <w:rPr>
                <w:noProof/>
                <w:webHidden/>
              </w:rPr>
              <w:fldChar w:fldCharType="begin"/>
            </w:r>
            <w:r w:rsidR="009219A8">
              <w:rPr>
                <w:noProof/>
                <w:webHidden/>
              </w:rPr>
              <w:instrText xml:space="preserve"> PAGEREF _Toc11862021 \h </w:instrText>
            </w:r>
            <w:r w:rsidR="009219A8">
              <w:rPr>
                <w:noProof/>
                <w:webHidden/>
              </w:rPr>
            </w:r>
            <w:r w:rsidR="009219A8">
              <w:rPr>
                <w:noProof/>
                <w:webHidden/>
              </w:rPr>
              <w:fldChar w:fldCharType="separate"/>
            </w:r>
            <w:r w:rsidR="009219A8">
              <w:rPr>
                <w:noProof/>
                <w:webHidden/>
              </w:rPr>
              <w:t>4</w:t>
            </w:r>
            <w:r w:rsidR="009219A8">
              <w:rPr>
                <w:noProof/>
                <w:webHidden/>
              </w:rPr>
              <w:fldChar w:fldCharType="end"/>
            </w:r>
          </w:hyperlink>
        </w:p>
        <w:p w:rsidR="009219A8" w:rsidRDefault="0000434E">
          <w:pPr>
            <w:pStyle w:val="TDC1"/>
            <w:rPr>
              <w:rFonts w:eastAsiaTheme="minorEastAsia"/>
              <w:noProof/>
              <w:lang w:eastAsia="es-MX"/>
            </w:rPr>
          </w:pPr>
          <w:hyperlink w:anchor="_Toc11862022" w:history="1">
            <w:r w:rsidR="009219A8" w:rsidRPr="00207CF2">
              <w:rPr>
                <w:rStyle w:val="Hipervnculo"/>
                <w:rFonts w:ascii="Palatino Linotype" w:hAnsi="Palatino Linotype"/>
                <w:b/>
                <w:noProof/>
              </w:rPr>
              <w:t>III.</w:t>
            </w:r>
            <w:r w:rsidR="009219A8">
              <w:rPr>
                <w:rFonts w:eastAsiaTheme="minorEastAsia"/>
                <w:noProof/>
                <w:lang w:eastAsia="es-MX"/>
              </w:rPr>
              <w:tab/>
            </w:r>
            <w:r w:rsidR="009219A8" w:rsidRPr="00207CF2">
              <w:rPr>
                <w:rStyle w:val="Hipervnculo"/>
                <w:rFonts w:ascii="Palatino Linotype" w:hAnsi="Palatino Linotype"/>
                <w:b/>
                <w:noProof/>
              </w:rPr>
              <w:t>De la respuesta del Sujeto Obligado.</w:t>
            </w:r>
            <w:r w:rsidR="009219A8">
              <w:rPr>
                <w:noProof/>
                <w:webHidden/>
              </w:rPr>
              <w:tab/>
            </w:r>
            <w:r w:rsidR="009219A8">
              <w:rPr>
                <w:noProof/>
                <w:webHidden/>
              </w:rPr>
              <w:fldChar w:fldCharType="begin"/>
            </w:r>
            <w:r w:rsidR="009219A8">
              <w:rPr>
                <w:noProof/>
                <w:webHidden/>
              </w:rPr>
              <w:instrText xml:space="preserve"> PAGEREF _Toc11862022 \h </w:instrText>
            </w:r>
            <w:r w:rsidR="009219A8">
              <w:rPr>
                <w:noProof/>
                <w:webHidden/>
              </w:rPr>
            </w:r>
            <w:r w:rsidR="009219A8">
              <w:rPr>
                <w:noProof/>
                <w:webHidden/>
              </w:rPr>
              <w:fldChar w:fldCharType="separate"/>
            </w:r>
            <w:r w:rsidR="009219A8">
              <w:rPr>
                <w:noProof/>
                <w:webHidden/>
              </w:rPr>
              <w:t>7</w:t>
            </w:r>
            <w:r w:rsidR="009219A8">
              <w:rPr>
                <w:noProof/>
                <w:webHidden/>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bookmarkStart w:id="1" w:name="_Toc526786187"/>
    <w:bookmarkStart w:id="2" w:name="_Toc527381339"/>
    <w:p w:rsidR="008F7805" w:rsidRPr="00877AE6" w:rsidRDefault="00C20346" w:rsidP="008F7805">
      <w:pPr>
        <w:rPr>
          <w:rFonts w:ascii="Palatino Linotype" w:hAnsi="Palatino Linotype"/>
          <w:sz w:val="24"/>
          <w:szCs w:val="24"/>
        </w:rPr>
      </w:pPr>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1A1F"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" strokecolor="black [3200]" strokeweight=".5pt">
                <v:stroke joinstyle="miter"/>
              </v:line>
            </w:pict>
          </mc:Fallback>
        </mc:AlternateContent>
      </w:r>
      <w:bookmarkEnd w:id="1"/>
      <w:bookmarkEnd w:id="2"/>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Default="000C6443" w:rsidP="008F7805">
      <w:pPr>
        <w:rPr>
          <w:rFonts w:ascii="Palatino Linotype" w:hAnsi="Palatino Linotype"/>
          <w:sz w:val="24"/>
          <w:szCs w:val="24"/>
        </w:rPr>
      </w:pPr>
    </w:p>
    <w:p w:rsidR="009219A8" w:rsidRDefault="009219A8" w:rsidP="008F7805">
      <w:pPr>
        <w:rPr>
          <w:rFonts w:ascii="Palatino Linotype" w:hAnsi="Palatino Linotype"/>
          <w:sz w:val="24"/>
          <w:szCs w:val="24"/>
        </w:rPr>
      </w:pPr>
    </w:p>
    <w:p w:rsidR="009219A8" w:rsidRPr="00877AE6" w:rsidRDefault="009219A8"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3" w:name="_Toc11862020"/>
      <w:r w:rsidRPr="00877AE6">
        <w:rPr>
          <w:rFonts w:ascii="Palatino Linotype" w:eastAsia="Times New Roman" w:hAnsi="Palatino Linotype"/>
          <w:b/>
          <w:color w:val="auto"/>
          <w:sz w:val="24"/>
          <w:szCs w:val="24"/>
        </w:rPr>
        <w:lastRenderedPageBreak/>
        <w:t>Consideraciones Generales</w:t>
      </w:r>
      <w:bookmarkEnd w:id="3"/>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AC66DC">
      <w:pPr>
        <w:numPr>
          <w:ilvl w:val="0"/>
          <w:numId w:val="2"/>
        </w:numPr>
        <w:spacing w:after="0" w:line="360" w:lineRule="auto"/>
        <w:ind w:left="0" w:firstLine="0"/>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por el Pleno del Instituto de Transparencia, Acceso a la Información Pública y Protección de Datos Personales del Estad</w:t>
      </w:r>
      <w:r w:rsidR="00835E85">
        <w:rPr>
          <w:rFonts w:ascii="Palatino Linotype" w:eastAsia="Calibri" w:hAnsi="Palatino Linotype" w:cs="Arial"/>
          <w:sz w:val="24"/>
          <w:szCs w:val="24"/>
        </w:rPr>
        <w:t>o de México y Municipios, en su</w:t>
      </w:r>
      <w:r w:rsidR="00E75A3B">
        <w:rPr>
          <w:rFonts w:ascii="Palatino Linotype" w:eastAsia="Calibri" w:hAnsi="Palatino Linotype" w:cs="Arial"/>
          <w:sz w:val="24"/>
          <w:szCs w:val="24"/>
        </w:rPr>
        <w:t xml:space="preserve"> </w:t>
      </w:r>
      <w:r w:rsidR="00AC66DC">
        <w:rPr>
          <w:rFonts w:ascii="Palatino Linotype" w:eastAsia="Calibri" w:hAnsi="Palatino Linotype" w:cs="Arial"/>
          <w:b/>
          <w:sz w:val="24"/>
          <w:szCs w:val="24"/>
        </w:rPr>
        <w:t xml:space="preserve">Vigésima Segunda Sesión Ordinaria  </w:t>
      </w:r>
      <w:r w:rsidR="004137A7" w:rsidRPr="00C743FE">
        <w:rPr>
          <w:rFonts w:ascii="Palatino Linotype" w:eastAsia="Calibri" w:hAnsi="Palatino Linotype" w:cs="Arial"/>
          <w:sz w:val="24"/>
          <w:szCs w:val="24"/>
        </w:rPr>
        <w:t>celebrada el</w:t>
      </w:r>
      <w:r w:rsidR="00AC66DC">
        <w:rPr>
          <w:rFonts w:ascii="Palatino Linotype" w:eastAsia="Calibri" w:hAnsi="Palatino Linotype" w:cs="Arial"/>
          <w:sz w:val="24"/>
          <w:szCs w:val="24"/>
        </w:rPr>
        <w:t xml:space="preserve"> día doce</w:t>
      </w:r>
      <w:r w:rsidR="00E75A3B">
        <w:rPr>
          <w:rFonts w:ascii="Palatino Linotype" w:eastAsia="Calibri" w:hAnsi="Palatino Linotype" w:cs="Arial"/>
          <w:sz w:val="24"/>
          <w:szCs w:val="24"/>
        </w:rPr>
        <w:t xml:space="preserve"> (</w:t>
      </w:r>
      <w:r w:rsidR="00AC66DC">
        <w:rPr>
          <w:rFonts w:ascii="Palatino Linotype" w:eastAsia="Calibri" w:hAnsi="Palatino Linotype" w:cs="Arial"/>
          <w:sz w:val="24"/>
          <w:szCs w:val="24"/>
        </w:rPr>
        <w:t>1</w:t>
      </w:r>
      <w:r w:rsidR="00E75A3B">
        <w:rPr>
          <w:rFonts w:ascii="Palatino Linotype" w:eastAsia="Calibri" w:hAnsi="Palatino Linotype" w:cs="Arial"/>
          <w:sz w:val="24"/>
          <w:szCs w:val="24"/>
        </w:rPr>
        <w:t>2) de</w:t>
      </w:r>
      <w:r w:rsidR="00AC66DC">
        <w:rPr>
          <w:rFonts w:ascii="Palatino Linotype" w:eastAsia="Calibri" w:hAnsi="Palatino Linotype" w:cs="Arial"/>
          <w:sz w:val="24"/>
          <w:szCs w:val="24"/>
        </w:rPr>
        <w:t xml:space="preserve"> julio </w:t>
      </w:r>
      <w:r w:rsidR="00835E85">
        <w:rPr>
          <w:rFonts w:ascii="Palatino Linotype" w:eastAsia="Calibri" w:hAnsi="Palatino Linotype" w:cs="Arial"/>
          <w:sz w:val="24"/>
          <w:szCs w:val="24"/>
        </w:rPr>
        <w:t xml:space="preserve">de  </w:t>
      </w:r>
      <w:r w:rsidR="00270A82">
        <w:rPr>
          <w:rFonts w:ascii="Palatino Linotype" w:eastAsia="Calibri" w:hAnsi="Palatino Linotype" w:cs="Arial"/>
          <w:sz w:val="24"/>
          <w:szCs w:val="24"/>
        </w:rPr>
        <w:t>dos mil diecinueve</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en contra de la respuesta del</w:t>
      </w:r>
      <w:r w:rsidR="00E75A3B">
        <w:rPr>
          <w:rFonts w:ascii="Palatino Linotype" w:eastAsia="Calibri" w:hAnsi="Palatino Linotype" w:cs="Arial"/>
          <w:sz w:val="24"/>
          <w:szCs w:val="24"/>
        </w:rPr>
        <w:t xml:space="preserve"> </w:t>
      </w:r>
      <w:r w:rsidR="00AC66DC">
        <w:rPr>
          <w:rFonts w:ascii="Palatino Linotype" w:eastAsia="Calibri" w:hAnsi="Palatino Linotype" w:cs="Arial"/>
          <w:b/>
          <w:sz w:val="24"/>
          <w:szCs w:val="24"/>
        </w:rPr>
        <w:t>Poder Legislativo</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w:t>
      </w:r>
      <w:r w:rsidR="00835E85">
        <w:rPr>
          <w:rFonts w:ascii="Palatino Linotype" w:hAnsi="Palatino Linotype"/>
          <w:b/>
          <w:sz w:val="24"/>
          <w:szCs w:val="24"/>
        </w:rPr>
        <w:t xml:space="preserve"> </w:t>
      </w:r>
      <w:r w:rsidR="00835E85">
        <w:rPr>
          <w:rFonts w:ascii="Palatino Linotype" w:hAnsi="Palatino Linotype"/>
          <w:sz w:val="24"/>
          <w:szCs w:val="24"/>
        </w:rPr>
        <w:t>al rubro indicado</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3D1DF8" w:rsidRPr="00835E85" w:rsidRDefault="000D5AEA" w:rsidP="00AC66DC">
      <w:pPr>
        <w:numPr>
          <w:ilvl w:val="0"/>
          <w:numId w:val="2"/>
        </w:numPr>
        <w:spacing w:after="0" w:line="360" w:lineRule="auto"/>
        <w:ind w:left="0" w:firstLine="0"/>
        <w:contextualSpacing/>
        <w:jc w:val="both"/>
        <w:rPr>
          <w:rFonts w:ascii="Palatino Linotype" w:hAnsi="Palatino Linotype"/>
          <w:sz w:val="24"/>
          <w:szCs w:val="24"/>
        </w:rPr>
      </w:pPr>
      <w:r w:rsidRPr="003D1DF8">
        <w:rPr>
          <w:rFonts w:ascii="Palatino Linotype" w:eastAsia="Calibri" w:hAnsi="Palatino Linotype" w:cs="Arial"/>
          <w:sz w:val="24"/>
          <w:szCs w:val="24"/>
        </w:rPr>
        <w:t>L</w:t>
      </w:r>
      <w:r w:rsidR="004B0239" w:rsidRPr="003D1DF8">
        <w:rPr>
          <w:rFonts w:ascii="Palatino Linotype" w:eastAsia="Calibri" w:hAnsi="Palatino Linotype" w:cs="Arial"/>
          <w:sz w:val="24"/>
          <w:szCs w:val="24"/>
        </w:rPr>
        <w:t xml:space="preserve">a resolución </w:t>
      </w:r>
      <w:r w:rsidR="00270A82">
        <w:rPr>
          <w:rFonts w:ascii="Palatino Linotype" w:eastAsia="Calibri" w:hAnsi="Palatino Linotype" w:cs="Arial"/>
          <w:sz w:val="24"/>
          <w:szCs w:val="24"/>
        </w:rPr>
        <w:t>determinó</w:t>
      </w:r>
      <w:r w:rsidR="00AC66DC">
        <w:rPr>
          <w:rFonts w:ascii="Palatino Linotype" w:hAnsi="Palatino Linotype" w:cs="Arial"/>
          <w:sz w:val="24"/>
          <w:szCs w:val="24"/>
          <w:lang w:val="es-ES_tradnl"/>
        </w:rPr>
        <w:t xml:space="preserve"> modificar</w:t>
      </w:r>
      <w:r w:rsidR="00270A82">
        <w:rPr>
          <w:rFonts w:ascii="Palatino Linotype" w:hAnsi="Palatino Linotype" w:cs="Arial"/>
          <w:sz w:val="24"/>
          <w:szCs w:val="24"/>
          <w:lang w:val="es-ES_tradnl"/>
        </w:rPr>
        <w:t xml:space="preserve"> la respuesta y ordena al Sujeto Obligado </w:t>
      </w:r>
      <w:r w:rsidR="00835E85">
        <w:rPr>
          <w:rFonts w:ascii="Palatino Linotype" w:hAnsi="Palatino Linotype" w:cs="Arial"/>
          <w:sz w:val="24"/>
          <w:szCs w:val="24"/>
          <w:lang w:val="es-ES_tradnl"/>
        </w:rPr>
        <w:t xml:space="preserve">lo siguiente: </w:t>
      </w:r>
    </w:p>
    <w:p w:rsidR="00835E85" w:rsidRPr="00835E85" w:rsidRDefault="00835E85" w:rsidP="00835E85">
      <w:pPr>
        <w:spacing w:after="0" w:line="360" w:lineRule="auto"/>
        <w:contextualSpacing/>
        <w:jc w:val="both"/>
        <w:rPr>
          <w:rFonts w:ascii="Palatino Linotype" w:hAnsi="Palatino Linotype"/>
          <w:sz w:val="24"/>
          <w:szCs w:val="24"/>
        </w:rPr>
      </w:pPr>
    </w:p>
    <w:p w:rsidR="00835E85" w:rsidRPr="000935F9" w:rsidRDefault="00E75A3B" w:rsidP="000935F9">
      <w:pPr>
        <w:pStyle w:val="Prrafodelista"/>
        <w:autoSpaceDE w:val="0"/>
        <w:autoSpaceDN w:val="0"/>
        <w:adjustRightInd w:val="0"/>
        <w:spacing w:after="0" w:line="360" w:lineRule="auto"/>
        <w:ind w:left="567" w:right="49"/>
        <w:contextualSpacing w:val="0"/>
        <w:jc w:val="both"/>
        <w:rPr>
          <w:rFonts w:ascii="Palatino Linotype" w:eastAsia="Times New Roman" w:hAnsi="Palatino Linotype" w:cs="Arial"/>
          <w:i/>
          <w:sz w:val="24"/>
          <w:szCs w:val="24"/>
          <w:lang w:val="es-ES" w:eastAsia="es-ES"/>
        </w:rPr>
      </w:pPr>
      <w:r w:rsidRPr="00E75A3B">
        <w:rPr>
          <w:rFonts w:ascii="Palatino Linotype" w:eastAsia="Times New Roman" w:hAnsi="Palatino Linotype" w:cs="Arial"/>
          <w:i/>
          <w:sz w:val="24"/>
          <w:szCs w:val="24"/>
          <w:lang w:val="es-ES" w:eastAsia="es-ES"/>
        </w:rPr>
        <w:t>“</w:t>
      </w:r>
      <w:r w:rsidR="00AC66DC">
        <w:rPr>
          <w:rFonts w:ascii="Palatino Linotype" w:eastAsia="Times New Roman" w:hAnsi="Palatino Linotype" w:cs="Arial"/>
          <w:i/>
          <w:sz w:val="24"/>
          <w:szCs w:val="24"/>
          <w:lang w:val="es-ES" w:eastAsia="es-ES"/>
        </w:rPr>
        <w:t xml:space="preserve">El Acuerdo de Clasificación mediante el cual el Comité de Transparencia del </w:t>
      </w:r>
      <w:r w:rsidR="00AC66DC">
        <w:rPr>
          <w:rFonts w:ascii="Palatino Linotype" w:eastAsia="Times New Roman" w:hAnsi="Palatino Linotype" w:cs="Arial"/>
          <w:b/>
          <w:i/>
          <w:sz w:val="24"/>
          <w:szCs w:val="24"/>
          <w:lang w:val="es-ES" w:eastAsia="es-ES"/>
        </w:rPr>
        <w:t xml:space="preserve">SUJETO OBLIGADO, </w:t>
      </w:r>
      <w:r w:rsidR="00AC66DC">
        <w:rPr>
          <w:rFonts w:ascii="Palatino Linotype" w:eastAsia="Times New Roman" w:hAnsi="Palatino Linotype" w:cs="Arial"/>
          <w:i/>
          <w:sz w:val="24"/>
          <w:szCs w:val="24"/>
          <w:lang w:val="es-ES" w:eastAsia="es-ES"/>
        </w:rPr>
        <w:t>determine que los pliegos de recomendaciones correspondientes al ejercicio 2018 y pliegos de observaciones administrativas resarcitorias de los ejercicios fiscales 2016, 2017 y 2018 formuladas al Municipio de Tezoyuca</w:t>
      </w:r>
      <w:r w:rsidR="000935F9">
        <w:rPr>
          <w:rFonts w:ascii="Palatino Linotype" w:eastAsia="Times New Roman" w:hAnsi="Palatino Linotype" w:cs="Arial"/>
          <w:i/>
          <w:sz w:val="24"/>
          <w:szCs w:val="24"/>
          <w:lang w:val="es-ES" w:eastAsia="es-ES"/>
        </w:rPr>
        <w:t>; se clasifiquen como información reservada, conforme a los artículos 49 fracción VIII, 129, 140 fracciones VI, VII, VIII y X y 141 de la Ley de Transparencia y Acceso a la Información Pública del Estado de México y Municipios</w:t>
      </w:r>
      <w:r w:rsidR="00835E85" w:rsidRPr="00E75A3B">
        <w:rPr>
          <w:rFonts w:ascii="Palatino Linotype" w:eastAsiaTheme="minorEastAsia" w:hAnsi="Palatino Linotype" w:cs="Arial"/>
          <w:i/>
        </w:rPr>
        <w:t>”</w:t>
      </w:r>
      <w:r w:rsidRPr="00E75A3B">
        <w:rPr>
          <w:rFonts w:ascii="Palatino Linotype" w:eastAsiaTheme="minorEastAsia" w:hAnsi="Palatino Linotype" w:cs="Arial"/>
          <w:i/>
        </w:rPr>
        <w:t xml:space="preserve"> (Sic)</w:t>
      </w:r>
    </w:p>
    <w:p w:rsidR="00835E85" w:rsidRPr="00835E85" w:rsidRDefault="00835E85" w:rsidP="00835E85">
      <w:pPr>
        <w:pStyle w:val="Prrafodelista"/>
        <w:ind w:left="851" w:right="899" w:hanging="142"/>
        <w:jc w:val="both"/>
        <w:rPr>
          <w:rFonts w:ascii="Palatino Linotype" w:eastAsiaTheme="minorEastAsia" w:hAnsi="Palatino Linotype" w:cs="Arial"/>
          <w:i/>
        </w:rPr>
      </w:pPr>
    </w:p>
    <w:p w:rsidR="003D1DF8" w:rsidRPr="00835E85" w:rsidRDefault="003D1DF8" w:rsidP="00835E85">
      <w:pPr>
        <w:numPr>
          <w:ilvl w:val="0"/>
          <w:numId w:val="2"/>
        </w:numPr>
        <w:spacing w:after="0" w:line="360" w:lineRule="auto"/>
        <w:ind w:left="0" w:firstLine="0"/>
        <w:contextualSpacing/>
        <w:jc w:val="both"/>
        <w:rPr>
          <w:rFonts w:ascii="Palatino Linotype" w:hAnsi="Palatino Linotype"/>
          <w:sz w:val="24"/>
          <w:szCs w:val="24"/>
          <w:lang w:val="es-ES_tradnl"/>
        </w:rPr>
      </w:pPr>
      <w:r w:rsidRPr="003D1DF8">
        <w:rPr>
          <w:rFonts w:ascii="Palatino Linotype" w:eastAsia="Calibri" w:hAnsi="Palatino Linotype" w:cs="Arial"/>
          <w:sz w:val="24"/>
          <w:szCs w:val="24"/>
        </w:rPr>
        <w:t>Asimismo, se especificó que</w:t>
      </w:r>
      <w:r w:rsidR="009B22A4">
        <w:rPr>
          <w:rFonts w:ascii="Palatino Linotype" w:eastAsia="Calibri" w:hAnsi="Palatino Linotype" w:cs="Arial"/>
          <w:sz w:val="24"/>
          <w:szCs w:val="24"/>
        </w:rPr>
        <w:t xml:space="preserve"> para el caso de que, parte de la información solicitada encuadre con alguna causal del artículo 140 de la ley de la materia, deberá </w:t>
      </w:r>
      <w:r w:rsidR="009B22A4">
        <w:rPr>
          <w:rFonts w:ascii="Palatino Linotype" w:eastAsia="Calibri" w:hAnsi="Palatino Linotype" w:cs="Arial"/>
          <w:sz w:val="24"/>
          <w:szCs w:val="24"/>
        </w:rPr>
        <w:lastRenderedPageBreak/>
        <w:t xml:space="preserve">elaborar un Acuerdo de Clasificación que apruebe el Comité de Transparencia, en el que funde y motive la clasificación de dicha información como reservada en su totalidad, debiendo notificarlo al recurrente al momento de dar cumplimiento a la presente resolución. </w:t>
      </w:r>
      <w:r w:rsidRPr="003D1DF8">
        <w:rPr>
          <w:rFonts w:ascii="Palatino Linotype" w:eastAsia="Calibri" w:hAnsi="Palatino Linotype" w:cs="Arial"/>
          <w:sz w:val="24"/>
          <w:szCs w:val="24"/>
        </w:rPr>
        <w:t xml:space="preserve"> </w:t>
      </w:r>
    </w:p>
    <w:p w:rsidR="00835E85" w:rsidRPr="00912F71" w:rsidRDefault="00835E85" w:rsidP="00835E85">
      <w:pPr>
        <w:spacing w:after="0" w:line="360" w:lineRule="auto"/>
        <w:contextualSpacing/>
        <w:jc w:val="both"/>
        <w:rPr>
          <w:rFonts w:ascii="Palatino Linotype" w:hAnsi="Palatino Linotype"/>
          <w:sz w:val="24"/>
          <w:szCs w:val="24"/>
          <w:lang w:val="es-ES_tradnl"/>
        </w:rPr>
      </w:pPr>
    </w:p>
    <w:p w:rsidR="00912F71" w:rsidRDefault="00912F71" w:rsidP="00835E85">
      <w:pPr>
        <w:numPr>
          <w:ilvl w:val="0"/>
          <w:numId w:val="2"/>
        </w:numPr>
        <w:spacing w:after="0" w:line="360" w:lineRule="auto"/>
        <w:ind w:left="0" w:firstLine="0"/>
        <w:contextualSpacing/>
        <w:jc w:val="both"/>
        <w:rPr>
          <w:rFonts w:ascii="Palatino Linotype" w:hAnsi="Palatino Linotype" w:cs="Arial"/>
          <w:sz w:val="24"/>
          <w:szCs w:val="24"/>
        </w:rPr>
      </w:pPr>
      <w:r w:rsidRPr="004E1D27">
        <w:rPr>
          <w:rFonts w:ascii="Palatino Linotype" w:hAnsi="Palatino Linotype" w:cs="Arial"/>
          <w:sz w:val="24"/>
          <w:szCs w:val="24"/>
          <w:lang w:val="es-ES_tradnl"/>
        </w:rPr>
        <w:t>Por</w:t>
      </w:r>
      <w:r w:rsidRPr="00B10C1A">
        <w:rPr>
          <w:rFonts w:ascii="Palatino Linotype"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w:t>
      </w:r>
      <w:r>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3D1DF8" w:rsidRPr="003D1DF8" w:rsidRDefault="003D1DF8" w:rsidP="003D1DF8">
      <w:pPr>
        <w:spacing w:after="0" w:line="360" w:lineRule="auto"/>
        <w:ind w:left="360"/>
        <w:contextualSpacing/>
        <w:jc w:val="both"/>
        <w:rPr>
          <w:rFonts w:ascii="Palatino Linotype" w:hAnsi="Palatino Linotype" w:cs="Arial"/>
          <w:bCs/>
          <w:sz w:val="24"/>
          <w:szCs w:val="24"/>
          <w:shd w:val="clear" w:color="auto" w:fill="FFFFFF"/>
        </w:rPr>
      </w:pPr>
    </w:p>
    <w:p w:rsidR="009C382C" w:rsidRPr="00877AE6" w:rsidRDefault="009C382C" w:rsidP="009B22A4">
      <w:pPr>
        <w:pStyle w:val="Ttulo1"/>
        <w:numPr>
          <w:ilvl w:val="0"/>
          <w:numId w:val="3"/>
        </w:numPr>
        <w:ind w:left="284" w:firstLine="0"/>
        <w:rPr>
          <w:rFonts w:ascii="Palatino Linotype" w:eastAsia="Calibri" w:hAnsi="Palatino Linotype"/>
          <w:b/>
          <w:color w:val="auto"/>
          <w:sz w:val="24"/>
          <w:szCs w:val="24"/>
          <w:lang w:val="es-ES"/>
        </w:rPr>
      </w:pPr>
      <w:bookmarkStart w:id="4" w:name="_Toc11862021"/>
      <w:r w:rsidRPr="00877AE6">
        <w:rPr>
          <w:rFonts w:ascii="Palatino Linotype" w:eastAsia="Calibri" w:hAnsi="Palatino Linotype"/>
          <w:b/>
          <w:color w:val="auto"/>
          <w:sz w:val="24"/>
          <w:szCs w:val="24"/>
          <w:lang w:val="es-ES"/>
        </w:rPr>
        <w:t>De los requerimientos planteados en el recurso de revisión.</w:t>
      </w:r>
      <w:bookmarkEnd w:id="4"/>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9B22A4">
      <w:pPr>
        <w:numPr>
          <w:ilvl w:val="0"/>
          <w:numId w:val="2"/>
        </w:numPr>
        <w:spacing w:after="0" w:line="360" w:lineRule="auto"/>
        <w:ind w:left="284" w:hanging="284"/>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w:t>
      </w:r>
      <w:r w:rsidR="00835E85">
        <w:rPr>
          <w:rFonts w:ascii="Palatino Linotype" w:eastAsia="Calibri" w:hAnsi="Palatino Linotype" w:cs="Times New Roman"/>
          <w:sz w:val="24"/>
          <w:szCs w:val="24"/>
        </w:rPr>
        <w:t xml:space="preserve">e información dirigida hacia el </w:t>
      </w:r>
      <w:r w:rsidR="00835E85">
        <w:rPr>
          <w:rFonts w:ascii="Palatino Linotype" w:eastAsia="Calibri" w:hAnsi="Palatino Linotype" w:cs="Times New Roman"/>
          <w:b/>
          <w:sz w:val="24"/>
          <w:szCs w:val="24"/>
        </w:rPr>
        <w:t>Poder Legislativo</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9B22A4" w:rsidRPr="009B22A4" w:rsidRDefault="009B22A4" w:rsidP="000935F9">
      <w:pPr>
        <w:ind w:left="567" w:right="900"/>
        <w:jc w:val="both"/>
        <w:rPr>
          <w:rFonts w:ascii="Palatino Linotype" w:eastAsia="Times New Roman" w:hAnsi="Palatino Linotype" w:cs="Arial"/>
          <w:i/>
          <w:lang w:eastAsia="es-ES"/>
        </w:rPr>
      </w:pPr>
      <w:r w:rsidRPr="009B22A4">
        <w:rPr>
          <w:rFonts w:ascii="Palatino Linotype" w:eastAsia="Times New Roman" w:hAnsi="Palatino Linotype" w:cs="Arial"/>
          <w:i/>
          <w:lang w:eastAsia="es-ES"/>
        </w:rPr>
        <w:t>“</w:t>
      </w:r>
      <w:r w:rsidR="000935F9" w:rsidRPr="000935F9">
        <w:rPr>
          <w:rFonts w:ascii="Palatino Linotype" w:eastAsia="Times New Roman" w:hAnsi="Palatino Linotype" w:cs="Arial"/>
          <w:i/>
          <w:lang w:eastAsia="es-ES"/>
        </w:rPr>
        <w:t>Solicito todos los pliegos de observaciones, recomendaciones y fincamiento de responsabilidades resarcitorias de la entidad fiscalizable Municipio de Tezoyuca durante la administración pública municipal 2016-2018.</w:t>
      </w:r>
      <w:r w:rsidRPr="009B22A4">
        <w:rPr>
          <w:rFonts w:ascii="Palatino Linotype" w:eastAsia="Times New Roman" w:hAnsi="Palatino Linotype" w:cs="Arial"/>
          <w:i/>
          <w:lang w:eastAsia="es-ES"/>
        </w:rPr>
        <w:t>.”</w:t>
      </w:r>
    </w:p>
    <w:p w:rsidR="00187610" w:rsidRPr="00877AE6" w:rsidRDefault="00187610" w:rsidP="00A766F3">
      <w:pPr>
        <w:ind w:left="1199" w:right="900"/>
        <w:jc w:val="both"/>
        <w:rPr>
          <w:rFonts w:ascii="Palatino Linotype" w:hAnsi="Palatino Linotype"/>
          <w:i/>
          <w:color w:val="000000"/>
          <w:sz w:val="24"/>
          <w:szCs w:val="24"/>
        </w:rPr>
      </w:pPr>
    </w:p>
    <w:p w:rsidR="00A766F3" w:rsidRPr="00877AE6" w:rsidRDefault="00A766F3" w:rsidP="00835E85">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t>Inconforme</w:t>
      </w:r>
      <w:r w:rsidRPr="00877AE6">
        <w:rPr>
          <w:rFonts w:ascii="Palatino Linotype" w:hAnsi="Palatino Linotype" w:cs="Arial"/>
          <w:sz w:val="24"/>
          <w:szCs w:val="24"/>
        </w:rPr>
        <w:t xml:space="preserve"> el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9B22A4">
        <w:rPr>
          <w:rFonts w:ascii="Palatino Linotype" w:hAnsi="Palatino Linotype" w:cs="Arial"/>
          <w:sz w:val="24"/>
          <w:szCs w:val="24"/>
        </w:rPr>
        <w:t xml:space="preserve"> a través del SAIMEX en fecha veintitrés</w:t>
      </w:r>
      <w:r w:rsidR="004E1262">
        <w:rPr>
          <w:rFonts w:ascii="Palatino Linotype" w:hAnsi="Palatino Linotype" w:cs="Arial"/>
          <w:sz w:val="24"/>
          <w:szCs w:val="24"/>
        </w:rPr>
        <w:t xml:space="preserve"> </w:t>
      </w:r>
      <w:r w:rsidR="00362134" w:rsidRPr="00877AE6">
        <w:rPr>
          <w:rFonts w:ascii="Palatino Linotype" w:hAnsi="Palatino Linotype" w:cs="Arial"/>
          <w:sz w:val="24"/>
          <w:szCs w:val="24"/>
        </w:rPr>
        <w:t>(</w:t>
      </w:r>
      <w:r w:rsidR="009B22A4">
        <w:rPr>
          <w:rFonts w:ascii="Palatino Linotype" w:hAnsi="Palatino Linotype" w:cs="Arial"/>
          <w:sz w:val="24"/>
          <w:szCs w:val="24"/>
        </w:rPr>
        <w:t>23</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9B22A4">
        <w:rPr>
          <w:rFonts w:ascii="Palatino Linotype" w:hAnsi="Palatino Linotype" w:cs="Arial"/>
          <w:sz w:val="24"/>
          <w:szCs w:val="24"/>
        </w:rPr>
        <w:t>febrero</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w:t>
      </w:r>
      <w:r w:rsidR="009B22A4">
        <w:rPr>
          <w:rFonts w:ascii="Palatino Linotype" w:hAnsi="Palatino Linotype" w:cs="Arial"/>
          <w:sz w:val="24"/>
          <w:szCs w:val="24"/>
        </w:rPr>
        <w:t>nueve</w:t>
      </w:r>
      <w:r w:rsidR="00362134" w:rsidRPr="00877AE6">
        <w:rPr>
          <w:rFonts w:ascii="Palatino Linotype" w:hAnsi="Palatino Linotype" w:cs="Arial"/>
          <w:sz w:val="24"/>
          <w:szCs w:val="24"/>
        </w:rPr>
        <w:t>, a través del</w:t>
      </w:r>
      <w:r w:rsidRPr="00877AE6">
        <w:rPr>
          <w:rFonts w:ascii="Palatino Linotype" w:hAnsi="Palatino Linotype" w:cs="Arial"/>
          <w:sz w:val="24"/>
          <w:szCs w:val="24"/>
        </w:rPr>
        <w:t xml:space="preserve"> cual expresó lo siguiente:</w:t>
      </w:r>
    </w:p>
    <w:p w:rsidR="004E1262" w:rsidRPr="00877AE6" w:rsidRDefault="004E1262" w:rsidP="00835E85">
      <w:pPr>
        <w:spacing w:line="360" w:lineRule="auto"/>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lastRenderedPageBreak/>
        <w:t>a) Acto impugnado.</w:t>
      </w:r>
    </w:p>
    <w:p w:rsidR="009B22A4" w:rsidRPr="009B22A4" w:rsidRDefault="009B22A4" w:rsidP="009B22A4">
      <w:pPr>
        <w:tabs>
          <w:tab w:val="left" w:pos="7938"/>
        </w:tabs>
        <w:spacing w:after="0" w:line="360" w:lineRule="auto"/>
        <w:ind w:left="567" w:right="49"/>
        <w:jc w:val="both"/>
        <w:rPr>
          <w:rFonts w:ascii="Palatino Linotype" w:eastAsia="Times New Roman" w:hAnsi="Palatino Linotype" w:cs="Times New Roman"/>
          <w:i/>
          <w:sz w:val="24"/>
          <w:lang w:eastAsia="es-MX"/>
        </w:rPr>
      </w:pPr>
      <w:r w:rsidRPr="009B22A4">
        <w:rPr>
          <w:rFonts w:ascii="Palatino Linotype" w:eastAsia="Times New Roman" w:hAnsi="Palatino Linotype" w:cs="Times New Roman"/>
          <w:i/>
          <w:sz w:val="24"/>
          <w:lang w:eastAsia="es-MX"/>
        </w:rPr>
        <w:t>“</w:t>
      </w:r>
      <w:r w:rsidR="000935F9" w:rsidRPr="000935F9">
        <w:rPr>
          <w:rFonts w:ascii="Palatino Linotype" w:eastAsia="Times New Roman" w:hAnsi="Palatino Linotype" w:cs="Times New Roman"/>
          <w:i/>
          <w:sz w:val="24"/>
          <w:lang w:eastAsia="es-MX"/>
        </w:rPr>
        <w:t>RESPUESTA Y ACUERDOS EMITIDOS POR EL SUJETO OBLIGADO</w:t>
      </w:r>
      <w:r w:rsidR="000935F9">
        <w:rPr>
          <w:rFonts w:ascii="Palatino Linotype" w:eastAsia="Times New Roman" w:hAnsi="Palatino Linotype" w:cs="Times New Roman"/>
          <w:i/>
          <w:sz w:val="24"/>
          <w:lang w:eastAsia="es-MX"/>
        </w:rPr>
        <w:t xml:space="preserve">” </w:t>
      </w:r>
      <w:r w:rsidRPr="009B22A4">
        <w:rPr>
          <w:rFonts w:ascii="Palatino Linotype" w:eastAsia="Times New Roman" w:hAnsi="Palatino Linotype" w:cs="Times New Roman"/>
          <w:i/>
          <w:sz w:val="24"/>
          <w:lang w:eastAsia="es-MX"/>
        </w:rPr>
        <w:t xml:space="preserve"> (sic)</w:t>
      </w:r>
    </w:p>
    <w:p w:rsidR="00362134" w:rsidRPr="00877AE6" w:rsidRDefault="00362134"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9B22A4" w:rsidRDefault="009B22A4" w:rsidP="000935F9">
      <w:pPr>
        <w:pStyle w:val="Prrafodelista"/>
        <w:spacing w:after="0" w:line="360" w:lineRule="auto"/>
        <w:ind w:left="360"/>
        <w:jc w:val="both"/>
        <w:rPr>
          <w:rFonts w:ascii="Palatino Linotype" w:eastAsia="Calibri" w:hAnsi="Palatino Linotype" w:cs="Arial"/>
          <w:i/>
          <w:sz w:val="24"/>
          <w:szCs w:val="24"/>
        </w:rPr>
      </w:pPr>
      <w:r w:rsidRPr="009B22A4">
        <w:rPr>
          <w:rFonts w:ascii="Palatino Linotype" w:eastAsia="Calibri" w:hAnsi="Palatino Linotype" w:cs="Arial"/>
          <w:i/>
          <w:sz w:val="24"/>
          <w:szCs w:val="24"/>
        </w:rPr>
        <w:t>“</w:t>
      </w:r>
      <w:r w:rsidR="000935F9" w:rsidRPr="000935F9">
        <w:rPr>
          <w:rFonts w:ascii="Palatino Linotype" w:eastAsia="Calibri" w:hAnsi="Palatino Linotype" w:cs="Arial"/>
          <w:i/>
          <w:sz w:val="24"/>
          <w:szCs w:val="24"/>
        </w:rPr>
        <w:t xml:space="preserve">NO RESULTA LEGAL QUE EL SUJETO OBLIGADO HAYA CLASIFICADO LA INFORMACIÓN, PUES LA INFORMACIÓN SOLICITADA CONSISTE EN PLIEGO DE RESPONSABILIDADES Y PROCEDIMIENTOS RESARCITORIOS VINCULADOS ESTRECHAMENTE CON LA EROGACIÓN DE RECURSOS PÚBLICOS; LUEGO ENTONCES LOS CIUDADANOS NOS ENCONTRAMOS CONSTITUCIONALMENTE HABILITADOS PARA CONOCER EL DESTINO DETALLADO DE LOS RECURSOS PÚBLICOS Y COMO EN EL CASO EN CONCRETO, LA INVESTIGACIÓN QUE LOS ÓRGANOS FISCALZADORES DESARROLLEN CON MOTIVO DE SUS FUNCIONES, PUES LA EROGACIÓN DE LOS RECURSOS PÚBLICOS DEBE SER EXPUESTA DE FORMA PÚBLICA, ATENDIENDO EL PRINCIPIO DE CERTEZA, LEGALIDAD Y PUBLICIDAD, MOTIVO POR EL CUAL NO DEBE CLASIFICARSE LA INFORMACIÓN RELACIONADA CON LAS INVESTIGACIONES DE ÍNDOLE ADMINISTRATIVA, EN LA CUAL SE LE ATRIBUYA A FUNCIONARIOS Y EXFUNCIONARIOS CONDUCTAS IRREGULARES QUE PUDIERAN O HAYAN CAUSADO DAÑO O PERJUICIO A LA HACIENDA PÚBICA, DE LO CONTRARIO, NO SE CUMPLE CABAL Y EXHAUSTIVAMENTE CON LOS </w:t>
      </w:r>
      <w:r w:rsidR="000935F9" w:rsidRPr="000935F9">
        <w:rPr>
          <w:rFonts w:ascii="Palatino Linotype" w:eastAsia="Calibri" w:hAnsi="Palatino Linotype" w:cs="Arial"/>
          <w:i/>
          <w:sz w:val="24"/>
          <w:szCs w:val="24"/>
        </w:rPr>
        <w:lastRenderedPageBreak/>
        <w:t>PRINCIPIOS RECTORES DEL SERVICIO PÚBLICO. SOLICITANDO A ESTE INSTITUTO EN MATERIA DE TRANSPARENCIA QUE, ATENDIENDO LO MANIFESTADO Y EL ORIGEN DE LA INFORMACIÓN SOLICITADA, INSTRUYA AL SUJETO OBLIGADO EN DEJAR SIN EFECTOS LA CLASIFICACIÓN DE LA INFORMACIÓN SOLICITADA, PUES ESTA RESULTA SER ÍNDOLE PÚBLICO AL TRATARSE DE RECURSOS DE LA CIUDADANÍA, LOS MISMOS QUE DEBEN SER OBSERVADOS CON LA MAYOR PUBLICIDAD; ASIMISMO, SE SOLICITARON DOCUMENTALES CLARAS Y PRECISAS ATENDIENDO LA OBLIGACIÓN DE LOS FUNCIONARIOS MUNICIPALES EN EL DESPLIEGUE DE SUS ATRIBUCIONES, NO SOLAMENTE UNA RELACIÓN DE LOS PLIEGOS DE PRESUNTA RESPONSABILIZAD, NI UN ESCUETO LISTADO DE PROCEDIMIENTOS RESARCITORIOS INICIADOS QUE DE ACUERDO AL SUJETO OBLIGAO SE ENCUENTRAN EN INVESTIGACIÓN, POR QUE ADEMÁS DE UNA CLASIFICACIÓN DE INFORMACIÓN INFUNDADA E INDEBIDAMENTE MOTIVADA, LA ENTREGA DE LA INFORMACIÓN SOLICITADA ES DE FORMA PARCIAL, POR LO QUE DEBERÁ CONMINAR AL SUJETO OBLIGADO A ENTREGAR LA INFORMACIÓN COMPLETA Y EN LA VÍA SOLICITADA.</w:t>
      </w:r>
      <w:r w:rsidRPr="009B22A4">
        <w:rPr>
          <w:rFonts w:ascii="Palatino Linotype" w:eastAsia="Calibri" w:hAnsi="Palatino Linotype" w:cs="Arial"/>
          <w:i/>
          <w:sz w:val="24"/>
          <w:szCs w:val="24"/>
        </w:rPr>
        <w:t>.”</w:t>
      </w:r>
    </w:p>
    <w:p w:rsidR="000935F9" w:rsidRPr="000935F9" w:rsidRDefault="000935F9" w:rsidP="000935F9">
      <w:pPr>
        <w:pStyle w:val="Prrafodelista"/>
        <w:spacing w:after="0" w:line="360" w:lineRule="auto"/>
        <w:ind w:left="360"/>
        <w:jc w:val="both"/>
        <w:rPr>
          <w:rFonts w:ascii="Palatino Linotype" w:eastAsia="Calibri" w:hAnsi="Palatino Linotype" w:cs="Arial"/>
          <w:i/>
          <w:sz w:val="24"/>
          <w:szCs w:val="24"/>
        </w:rPr>
      </w:pPr>
    </w:p>
    <w:p w:rsidR="000F1AD8" w:rsidRPr="00877AE6" w:rsidRDefault="00A7073D" w:rsidP="000935F9">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877AE6">
        <w:rPr>
          <w:rFonts w:ascii="Palatino Linotype" w:hAnsi="Palatino Linotype" w:cs="Arial"/>
          <w:sz w:val="24"/>
          <w:szCs w:val="24"/>
        </w:rPr>
        <w:lastRenderedPageBreak/>
        <w:t>Bajo esas co</w:t>
      </w:r>
      <w:r w:rsidR="002E00FE">
        <w:rPr>
          <w:rFonts w:ascii="Palatino Linotype" w:hAnsi="Palatino Linotype" w:cs="Arial"/>
          <w:sz w:val="24"/>
          <w:szCs w:val="24"/>
        </w:rPr>
        <w:t xml:space="preserve">nsideraciones, se advirtió que las razones o </w:t>
      </w:r>
      <w:r w:rsidRPr="00877AE6">
        <w:rPr>
          <w:rFonts w:ascii="Palatino Linotype" w:hAnsi="Palatino Linotype" w:cs="Arial"/>
          <w:sz w:val="24"/>
          <w:szCs w:val="24"/>
        </w:rPr>
        <w:t xml:space="preserve"> motivos aduc</w:t>
      </w:r>
      <w:r w:rsidR="00630750" w:rsidRPr="00877AE6">
        <w:rPr>
          <w:rFonts w:ascii="Palatino Linotype" w:hAnsi="Palatino Linotype" w:cs="Arial"/>
          <w:sz w:val="24"/>
          <w:szCs w:val="24"/>
        </w:rPr>
        <w:t>id</w:t>
      </w:r>
      <w:r w:rsidR="002E00FE">
        <w:rPr>
          <w:rFonts w:ascii="Palatino Linotype" w:hAnsi="Palatino Linotype" w:cs="Arial"/>
          <w:sz w:val="24"/>
          <w:szCs w:val="24"/>
        </w:rPr>
        <w:t>os por el recurrente, resultan fundada</w:t>
      </w:r>
      <w:r w:rsidRPr="00877AE6">
        <w:rPr>
          <w:rFonts w:ascii="Palatino Linotype" w:hAnsi="Palatino Linotype" w:cs="Arial"/>
          <w:sz w:val="24"/>
          <w:szCs w:val="24"/>
        </w:rPr>
        <w:t xml:space="preserve">s </w:t>
      </w:r>
      <w:r w:rsidR="002E00FE">
        <w:rPr>
          <w:rFonts w:ascii="Palatino Linotype" w:hAnsi="Palatino Linotype" w:cs="Arial"/>
          <w:sz w:val="24"/>
          <w:szCs w:val="24"/>
        </w:rPr>
        <w:t xml:space="preserve">y se determinó </w:t>
      </w:r>
      <w:r w:rsidR="008F4D79">
        <w:rPr>
          <w:rFonts w:ascii="Palatino Linotype" w:hAnsi="Palatino Linotype" w:cs="Arial"/>
          <w:sz w:val="24"/>
          <w:szCs w:val="24"/>
        </w:rPr>
        <w:t>Revocar</w:t>
      </w:r>
      <w:r w:rsidR="002E00FE">
        <w:rPr>
          <w:rFonts w:ascii="Palatino Linotype" w:hAnsi="Palatino Linotype" w:cs="Arial"/>
          <w:sz w:val="24"/>
          <w:szCs w:val="24"/>
        </w:rPr>
        <w:t xml:space="preserve"> la respuesta del Sujeto Obligado. </w:t>
      </w:r>
    </w:p>
    <w:p w:rsidR="00877AE6" w:rsidRDefault="00877AE6" w:rsidP="002E2A10">
      <w:pPr>
        <w:pStyle w:val="Ttulo1"/>
        <w:numPr>
          <w:ilvl w:val="0"/>
          <w:numId w:val="3"/>
        </w:numPr>
        <w:ind w:left="0" w:firstLine="0"/>
        <w:rPr>
          <w:rFonts w:ascii="Palatino Linotype" w:hAnsi="Palatino Linotype"/>
          <w:b/>
          <w:color w:val="000000" w:themeColor="text1"/>
          <w:sz w:val="24"/>
          <w:szCs w:val="24"/>
        </w:rPr>
      </w:pPr>
      <w:bookmarkStart w:id="5" w:name="_Toc11862022"/>
      <w:r w:rsidRPr="00877AE6">
        <w:rPr>
          <w:rFonts w:ascii="Palatino Linotype" w:hAnsi="Palatino Linotype"/>
          <w:b/>
          <w:color w:val="000000" w:themeColor="text1"/>
          <w:sz w:val="24"/>
          <w:szCs w:val="24"/>
        </w:rPr>
        <w:t>De la respuesta del Sujeto Obligado.</w:t>
      </w:r>
      <w:bookmarkEnd w:id="5"/>
    </w:p>
    <w:p w:rsidR="006B1AC1" w:rsidRPr="006B1AC1" w:rsidRDefault="006B1AC1" w:rsidP="006B1AC1"/>
    <w:p w:rsidR="004E1262" w:rsidRPr="004E1262" w:rsidRDefault="003C416E" w:rsidP="000935F9">
      <w:pPr>
        <w:pStyle w:val="Prrafodelista"/>
        <w:numPr>
          <w:ilvl w:val="0"/>
          <w:numId w:val="2"/>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En respuesta a la solicitud de información el Sujeto Obligado remitió el Acta del Comité de Tr</w:t>
      </w:r>
      <w:r w:rsidR="008F4D79">
        <w:rPr>
          <w:rFonts w:ascii="Palatino Linotype" w:hAnsi="Palatino Linotype" w:cs="Arial"/>
          <w:sz w:val="24"/>
          <w:szCs w:val="24"/>
        </w:rPr>
        <w:t>ansparencia en el que aprobó la</w:t>
      </w:r>
      <w:r w:rsidR="000935F9">
        <w:rPr>
          <w:rFonts w:ascii="Palatino Linotype" w:hAnsi="Palatino Linotype" w:cs="Arial"/>
          <w:sz w:val="24"/>
          <w:szCs w:val="24"/>
        </w:rPr>
        <w:t xml:space="preserve"> reserva de la información solicitada. </w:t>
      </w:r>
      <w:r w:rsidR="008F4D79">
        <w:rPr>
          <w:rFonts w:ascii="Palatino Linotype" w:hAnsi="Palatino Linotype" w:cs="Arial"/>
          <w:sz w:val="24"/>
          <w:szCs w:val="24"/>
        </w:rPr>
        <w:t xml:space="preserve"> </w:t>
      </w:r>
    </w:p>
    <w:p w:rsidR="004E1262" w:rsidRPr="004E1262" w:rsidRDefault="004E1262" w:rsidP="004E1262">
      <w:pPr>
        <w:pStyle w:val="Prrafodelista"/>
        <w:spacing w:after="0" w:line="360" w:lineRule="auto"/>
        <w:ind w:left="360"/>
        <w:jc w:val="both"/>
        <w:rPr>
          <w:rFonts w:ascii="Palatino Linotype" w:hAnsi="Palatino Linotype" w:cs="Arial"/>
          <w:i/>
          <w:sz w:val="24"/>
          <w:szCs w:val="24"/>
        </w:rPr>
      </w:pPr>
    </w:p>
    <w:p w:rsidR="00630412" w:rsidRPr="004E1262" w:rsidRDefault="00630412" w:rsidP="000935F9">
      <w:pPr>
        <w:pStyle w:val="Prrafodelista"/>
        <w:numPr>
          <w:ilvl w:val="0"/>
          <w:numId w:val="2"/>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Contexto, con el cual asume que genera, posee y administra la información, motivo por el cual se omitió un análisis de la fuente obligacional del Sujeto Obligado al respecto, y se procediera a ordenar la entrega del s</w:t>
      </w:r>
      <w:r w:rsidR="00E01FB8">
        <w:rPr>
          <w:rFonts w:ascii="Palatino Linotype" w:hAnsi="Palatino Linotype" w:cs="Arial"/>
          <w:sz w:val="24"/>
          <w:szCs w:val="24"/>
        </w:rPr>
        <w:t>oporte documental de referencia, sin embargo, es de señalar que a la resolución se agregó que en caso de que parte de la i</w:t>
      </w:r>
      <w:r w:rsidR="008F4D79">
        <w:rPr>
          <w:rFonts w:ascii="Palatino Linotype" w:hAnsi="Palatino Linotype" w:cs="Arial"/>
          <w:sz w:val="24"/>
          <w:szCs w:val="24"/>
        </w:rPr>
        <w:t xml:space="preserve">nformación solicitada encuadre </w:t>
      </w:r>
      <w:r w:rsidR="00E01FB8">
        <w:rPr>
          <w:rFonts w:ascii="Palatino Linotype" w:hAnsi="Palatino Linotype" w:cs="Arial"/>
          <w:sz w:val="24"/>
          <w:szCs w:val="24"/>
        </w:rPr>
        <w:t xml:space="preserve">en alguna causal de reserva deberá elaborar un Acuerdo de </w:t>
      </w:r>
      <w:r w:rsidR="006A35A5">
        <w:rPr>
          <w:rFonts w:ascii="Palatino Linotype" w:hAnsi="Palatino Linotype" w:cs="Arial"/>
          <w:sz w:val="24"/>
          <w:szCs w:val="24"/>
        </w:rPr>
        <w:t>Clasificación</w:t>
      </w:r>
      <w:r w:rsidR="00E01FB8">
        <w:rPr>
          <w:rFonts w:ascii="Palatino Linotype" w:hAnsi="Palatino Linotype" w:cs="Arial"/>
          <w:sz w:val="24"/>
          <w:szCs w:val="24"/>
        </w:rPr>
        <w:t>.</w:t>
      </w:r>
    </w:p>
    <w:p w:rsidR="00877AE6" w:rsidRPr="00877AE6" w:rsidRDefault="00877AE6" w:rsidP="004E1262">
      <w:pPr>
        <w:pStyle w:val="Prrafodelista"/>
        <w:spacing w:after="0" w:line="360" w:lineRule="auto"/>
        <w:ind w:left="426"/>
        <w:jc w:val="both"/>
        <w:rPr>
          <w:rFonts w:ascii="Palatino Linotype" w:hAnsi="Palatino Linotype" w:cs="Arial"/>
          <w:sz w:val="24"/>
          <w:szCs w:val="24"/>
        </w:rPr>
      </w:pPr>
      <w:r w:rsidRPr="00877AE6">
        <w:rPr>
          <w:rFonts w:ascii="Palatino Linotype" w:hAnsi="Palatino Linotype" w:cs="Arial"/>
          <w:sz w:val="24"/>
          <w:szCs w:val="24"/>
        </w:rPr>
        <w:t xml:space="preserve"> </w:t>
      </w:r>
    </w:p>
    <w:p w:rsidR="00877AE6" w:rsidRPr="00877AE6" w:rsidRDefault="00630412" w:rsidP="000935F9">
      <w:pPr>
        <w:pStyle w:val="Prrafodelista"/>
        <w:numPr>
          <w:ilvl w:val="0"/>
          <w:numId w:val="2"/>
        </w:numPr>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En esa tesitura</w:t>
      </w:r>
      <w:r w:rsidR="00877AE6" w:rsidRPr="00877AE6">
        <w:rPr>
          <w:rFonts w:ascii="Palatino Linotype" w:hAnsi="Palatino Linotype" w:cs="Arial"/>
          <w:sz w:val="24"/>
          <w:szCs w:val="24"/>
        </w:rPr>
        <w:t>,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F4D79" w:rsidRDefault="00877AE6" w:rsidP="008F4D79">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F4D79">
        <w:rPr>
          <w:rFonts w:ascii="Palatino Linotype" w:hAnsi="Palatino Linotype" w:cs="Arial"/>
          <w:b/>
          <w:sz w:val="24"/>
          <w:szCs w:val="24"/>
        </w:rPr>
        <w:lastRenderedPageBreak/>
        <w:t xml:space="preserve">La existencia de un juicio o procedimiento administrativo materialmente jurisdiccional. </w:t>
      </w:r>
    </w:p>
    <w:p w:rsidR="008F4D79" w:rsidRPr="008F4D79" w:rsidRDefault="008F4D79" w:rsidP="008F4D79">
      <w:pPr>
        <w:pStyle w:val="Prrafodelista"/>
        <w:spacing w:after="0" w:line="360" w:lineRule="auto"/>
        <w:ind w:left="851" w:right="616"/>
        <w:jc w:val="both"/>
        <w:rPr>
          <w:rFonts w:ascii="Palatino Linotype" w:hAnsi="Palatino Linotype" w:cs="Arial"/>
          <w:b/>
          <w:sz w:val="24"/>
          <w:szCs w:val="24"/>
        </w:rPr>
      </w:pPr>
    </w:p>
    <w:p w:rsidR="00877AE6" w:rsidRPr="008F4D79"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F4D79">
        <w:rPr>
          <w:rFonts w:ascii="Palatino Linotype" w:hAnsi="Palatino Linotype" w:cs="Arial"/>
          <w:b/>
          <w:sz w:val="24"/>
          <w:szCs w:val="24"/>
        </w:rPr>
        <w:t>Que el juicio se encuentre en trámite, es decir, que no haya causado estad.</w:t>
      </w:r>
    </w:p>
    <w:p w:rsid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F4D79">
        <w:rPr>
          <w:rFonts w:ascii="Palatino Linotype" w:hAnsi="Palatino Linotype" w:cs="Arial"/>
          <w:b/>
          <w:sz w:val="24"/>
          <w:szCs w:val="24"/>
        </w:rPr>
        <w:t xml:space="preserve">El vínculo entre la información solicitada y el procedimiento judicial de que se trate. </w:t>
      </w:r>
    </w:p>
    <w:p w:rsidR="008F4D79" w:rsidRPr="008F4D79" w:rsidRDefault="008F4D79" w:rsidP="008F4D79">
      <w:pPr>
        <w:pStyle w:val="Prrafodelista"/>
        <w:spacing w:after="0" w:line="360" w:lineRule="auto"/>
        <w:ind w:left="851" w:right="616"/>
        <w:jc w:val="both"/>
        <w:rPr>
          <w:rFonts w:ascii="Palatino Linotype" w:hAnsi="Palatino Linotype" w:cs="Arial"/>
          <w:b/>
          <w:sz w:val="24"/>
          <w:szCs w:val="24"/>
        </w:rPr>
      </w:pPr>
    </w:p>
    <w:p w:rsidR="00877AE6" w:rsidRPr="008F4D79"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F4D79">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Default="00877AE6" w:rsidP="000935F9">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877AE6">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p>
    <w:p w:rsidR="00630412" w:rsidRPr="00877AE6" w:rsidRDefault="00630412" w:rsidP="00630412">
      <w:pPr>
        <w:pStyle w:val="Prrafodelista"/>
        <w:spacing w:before="240" w:after="240" w:line="360" w:lineRule="auto"/>
        <w:ind w:left="426" w:right="49"/>
        <w:jc w:val="both"/>
        <w:rPr>
          <w:rFonts w:ascii="Palatino Linotype" w:hAnsi="Palatino Linotype" w:cs="Arial"/>
          <w:sz w:val="24"/>
          <w:szCs w:val="24"/>
        </w:rPr>
      </w:pPr>
    </w:p>
    <w:p w:rsidR="00877AE6" w:rsidRDefault="00877AE6" w:rsidP="000935F9">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877AE6">
        <w:rPr>
          <w:rFonts w:ascii="Palatino Linotype" w:hAnsi="Palatino Linotype" w:cs="Arial"/>
          <w:sz w:val="24"/>
          <w:szCs w:val="24"/>
        </w:rPr>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r w:rsidR="0057636B">
        <w:rPr>
          <w:rFonts w:ascii="Palatino Linotype" w:hAnsi="Palatino Linotype" w:cs="Arial"/>
          <w:sz w:val="24"/>
          <w:szCs w:val="24"/>
        </w:rPr>
        <w:t>Resolutor</w:t>
      </w:r>
      <w:r w:rsidRPr="00877AE6">
        <w:rPr>
          <w:rFonts w:ascii="Palatino Linotype" w:hAnsi="Palatino Linotype" w:cs="Arial"/>
          <w:sz w:val="24"/>
          <w:szCs w:val="24"/>
        </w:rPr>
        <w:t xml:space="preserve">a, se desprende </w:t>
      </w:r>
      <w:r w:rsidR="006A35A5">
        <w:rPr>
          <w:rFonts w:ascii="Palatino Linotype" w:hAnsi="Palatino Linotype" w:cs="Arial"/>
          <w:sz w:val="24"/>
          <w:szCs w:val="24"/>
        </w:rPr>
        <w:t xml:space="preserve">que otorgó al Sujeto Obligado la posibilidad de reservar información sin realizar el análisis de la información que pudiera ser reservada. </w:t>
      </w:r>
    </w:p>
    <w:p w:rsidR="006A35A5" w:rsidRPr="00877AE6" w:rsidRDefault="006A35A5" w:rsidP="006A35A5">
      <w:pPr>
        <w:pStyle w:val="Prrafodelista"/>
        <w:spacing w:before="240" w:after="240" w:line="360" w:lineRule="auto"/>
        <w:ind w:left="426" w:right="49"/>
        <w:jc w:val="both"/>
        <w:rPr>
          <w:rFonts w:ascii="Palatino Linotype" w:hAnsi="Palatino Linotype" w:cs="Arial"/>
          <w:sz w:val="24"/>
          <w:szCs w:val="24"/>
        </w:rPr>
      </w:pPr>
    </w:p>
    <w:p w:rsidR="00877AE6" w:rsidRPr="006B1AC1" w:rsidRDefault="006A35A5" w:rsidP="000935F9">
      <w:pPr>
        <w:pStyle w:val="Prrafodelista"/>
        <w:numPr>
          <w:ilvl w:val="0"/>
          <w:numId w:val="2"/>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En el estudio </w:t>
      </w:r>
      <w:r w:rsidR="00877AE6" w:rsidRPr="00877AE6">
        <w:rPr>
          <w:rFonts w:ascii="Palatino Linotype" w:hAnsi="Palatino Linotype" w:cs="Arial"/>
          <w:sz w:val="24"/>
          <w:szCs w:val="24"/>
        </w:rPr>
        <w:t xml:space="preserve">realizado por la ponencia resolutora tampoco analizó debidamente tales circunstancias, solamente se constriñe a señalar que </w:t>
      </w:r>
      <w:r w:rsidR="00630412">
        <w:rPr>
          <w:rFonts w:ascii="Palatino Linotype" w:hAnsi="Palatino Linotype" w:cs="Arial"/>
          <w:sz w:val="24"/>
          <w:szCs w:val="24"/>
        </w:rPr>
        <w:t xml:space="preserve">se ordena </w:t>
      </w:r>
      <w:r w:rsidR="000935F9">
        <w:rPr>
          <w:rFonts w:ascii="Palatino Linotype" w:hAnsi="Palatino Linotype" w:cs="Arial"/>
          <w:sz w:val="24"/>
          <w:szCs w:val="24"/>
        </w:rPr>
        <w:t xml:space="preserve">el  </w:t>
      </w:r>
      <w:r w:rsidR="000935F9" w:rsidRPr="000935F9">
        <w:rPr>
          <w:rFonts w:ascii="Palatino Linotype" w:hAnsi="Palatino Linotype" w:cs="Arial"/>
          <w:i/>
          <w:sz w:val="24"/>
          <w:szCs w:val="24"/>
          <w:lang w:val="es-ES"/>
        </w:rPr>
        <w:t xml:space="preserve">“El Acuerdo de Clasificación mediante el cual el Comité de Transparencia del </w:t>
      </w:r>
      <w:r w:rsidR="000935F9" w:rsidRPr="000935F9">
        <w:rPr>
          <w:rFonts w:ascii="Palatino Linotype" w:hAnsi="Palatino Linotype" w:cs="Arial"/>
          <w:b/>
          <w:i/>
          <w:sz w:val="24"/>
          <w:szCs w:val="24"/>
          <w:lang w:val="es-ES"/>
        </w:rPr>
        <w:t xml:space="preserve">SUJETO OBLIGADO, </w:t>
      </w:r>
      <w:r w:rsidR="000935F9" w:rsidRPr="000935F9">
        <w:rPr>
          <w:rFonts w:ascii="Palatino Linotype" w:hAnsi="Palatino Linotype" w:cs="Arial"/>
          <w:i/>
          <w:sz w:val="24"/>
          <w:szCs w:val="24"/>
          <w:lang w:val="es-ES"/>
        </w:rPr>
        <w:t>determine que los pliegos de recomendaciones correspondientes al ejercicio 2018 y pliegos de observaciones administrativas resarcitorias de los ejercicios fiscales 2016, 2017 y 2018 formuladas al Municipio de Tezoyuca; se clasifiquen como información reservada, conforme a los artículos 49 fracción VIII, 129, 140 fracciones VI, VII, VIII y X y 141 de la Ley de Transparencia y Acceso a la Información Pública del Estado de México y Municipios</w:t>
      </w:r>
      <w:r w:rsidR="000935F9" w:rsidRPr="000935F9">
        <w:rPr>
          <w:rFonts w:ascii="Palatino Linotype" w:hAnsi="Palatino Linotype" w:cs="Arial"/>
          <w:i/>
          <w:sz w:val="24"/>
          <w:szCs w:val="24"/>
        </w:rPr>
        <w:t>”</w:t>
      </w:r>
      <w:r w:rsidR="000935F9">
        <w:rPr>
          <w:rFonts w:ascii="Palatino Linotype" w:hAnsi="Palatino Linotype" w:cs="Arial"/>
          <w:i/>
          <w:sz w:val="24"/>
          <w:szCs w:val="24"/>
        </w:rPr>
        <w:t xml:space="preserve">. </w:t>
      </w:r>
      <w:r w:rsidR="000935F9">
        <w:rPr>
          <w:rFonts w:ascii="Palatino Linotype" w:hAnsi="Palatino Linotype" w:cs="Arial"/>
          <w:sz w:val="24"/>
          <w:szCs w:val="24"/>
        </w:rPr>
        <w:t xml:space="preserve"> </w:t>
      </w:r>
    </w:p>
    <w:p w:rsidR="006B1AC1" w:rsidRPr="006B1AC1" w:rsidRDefault="006B1AC1" w:rsidP="006B1AC1">
      <w:pPr>
        <w:pStyle w:val="Prrafodelista"/>
        <w:spacing w:before="240" w:after="240" w:line="360" w:lineRule="auto"/>
        <w:ind w:left="0" w:right="49"/>
        <w:jc w:val="both"/>
        <w:rPr>
          <w:rFonts w:ascii="Palatino Linotype" w:hAnsi="Palatino Linotype" w:cs="Arial"/>
          <w:sz w:val="24"/>
          <w:szCs w:val="24"/>
        </w:rPr>
      </w:pPr>
    </w:p>
    <w:p w:rsidR="00877AE6" w:rsidRPr="00877AE6" w:rsidRDefault="006B1AC1" w:rsidP="000935F9">
      <w:pPr>
        <w:pStyle w:val="Prrafodelista"/>
        <w:numPr>
          <w:ilvl w:val="0"/>
          <w:numId w:val="2"/>
        </w:numPr>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Así, e</w:t>
      </w:r>
      <w:r w:rsidR="00877AE6" w:rsidRPr="00877AE6">
        <w:rPr>
          <w:rFonts w:ascii="Palatino Linotype" w:hAnsi="Palatino Linotype" w:cs="Arial"/>
          <w:sz w:val="24"/>
          <w:szCs w:val="24"/>
        </w:rPr>
        <w:t xml:space="preserve">s 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00877AE6" w:rsidRPr="00877AE6">
        <w:rPr>
          <w:rFonts w:ascii="Palatino Linotype" w:hAnsi="Palatino Linotype" w:cs="Arial"/>
          <w:sz w:val="24"/>
          <w:szCs w:val="24"/>
          <w:lang w:eastAsia="es-MX"/>
        </w:rPr>
        <w:t>069/18 y RIA 082/18</w:t>
      </w:r>
      <w:r w:rsidR="00877AE6" w:rsidRPr="00877AE6">
        <w:rPr>
          <w:rFonts w:ascii="Palatino Linotype" w:hAnsi="Palatino Linotype" w:cs="Arial"/>
          <w:sz w:val="24"/>
          <w:szCs w:val="24"/>
        </w:rPr>
        <w:t xml:space="preserve">, en los que el Órgano Garante Nacional, puntualmente dirigió a este Órgano Garante local, que para invocar la causal de reserva, se deben de agotar todos y cada uno de los requisitos.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0935F9">
      <w:pPr>
        <w:pStyle w:val="Prrafodelista"/>
        <w:numPr>
          <w:ilvl w:val="0"/>
          <w:numId w:val="2"/>
        </w:numPr>
        <w:spacing w:after="0" w:line="360" w:lineRule="auto"/>
        <w:ind w:left="0" w:right="49" w:firstLine="0"/>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w:t>
      </w:r>
      <w:r w:rsidRPr="00877AE6">
        <w:rPr>
          <w:rFonts w:ascii="Palatino Linotype" w:hAnsi="Palatino Linotype" w:cs="Arial"/>
          <w:sz w:val="24"/>
          <w:szCs w:val="24"/>
        </w:rPr>
        <w:lastRenderedPageBreak/>
        <w:t xml:space="preserve">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0935F9">
      <w:pPr>
        <w:pStyle w:val="Prrafodelista"/>
        <w:numPr>
          <w:ilvl w:val="0"/>
          <w:numId w:val="2"/>
        </w:numPr>
        <w:spacing w:after="0" w:line="360" w:lineRule="auto"/>
        <w:ind w:left="0" w:right="49" w:firstLine="0"/>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0935F9">
      <w:pPr>
        <w:pStyle w:val="Prrafodelista"/>
        <w:numPr>
          <w:ilvl w:val="0"/>
          <w:numId w:val="2"/>
        </w:numPr>
        <w:spacing w:after="0" w:line="360" w:lineRule="auto"/>
        <w:ind w:left="0" w:right="49" w:firstLine="0"/>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Pr="00877AE6" w:rsidRDefault="00877AE6" w:rsidP="000935F9">
      <w:pPr>
        <w:pStyle w:val="Prrafodelista"/>
        <w:numPr>
          <w:ilvl w:val="0"/>
          <w:numId w:val="2"/>
        </w:numPr>
        <w:spacing w:after="0" w:line="360" w:lineRule="auto"/>
        <w:ind w:left="0" w:firstLine="0"/>
        <w:jc w:val="both"/>
        <w:rPr>
          <w:rFonts w:ascii="Palatino Linotype" w:hAnsi="Palatino Linotype" w:cs="Arial"/>
          <w:sz w:val="24"/>
          <w:szCs w:val="24"/>
        </w:rPr>
      </w:pPr>
      <w:r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877AE6">
        <w:rPr>
          <w:rFonts w:ascii="Palatino Linotype" w:hAnsi="Palatino Linotype" w:cs="Arial"/>
          <w:b/>
          <w:sz w:val="24"/>
          <w:szCs w:val="24"/>
        </w:rPr>
        <w:t>considerando que algún nivel de gobierno tenga obligaciones reforzadas hacia ciertos derechos.</w:t>
      </w:r>
      <w:r w:rsidRPr="00877AE6">
        <w:rPr>
          <w:rFonts w:ascii="Palatino Linotype" w:hAnsi="Palatino Linotype" w:cs="Arial"/>
          <w:sz w:val="24"/>
          <w:szCs w:val="24"/>
        </w:rPr>
        <w:t xml:space="preserve"> A partir </w:t>
      </w:r>
      <w:r w:rsidRPr="00877AE6">
        <w:rPr>
          <w:rFonts w:ascii="Palatino Linotype" w:hAnsi="Palatino Linotype" w:cs="Arial"/>
          <w:sz w:val="24"/>
          <w:szCs w:val="24"/>
        </w:rPr>
        <w:lastRenderedPageBreak/>
        <w:t xml:space="preserve">de tales deberes generales, podemos afirmar que las autoridades de todos los niveles de gobierno también tienen la obligación positiva de </w:t>
      </w:r>
      <w:r w:rsidRPr="00877AE6">
        <w:rPr>
          <w:rFonts w:ascii="Palatino Linotype" w:hAnsi="Palatino Linotype" w:cs="Arial"/>
          <w:b/>
          <w:sz w:val="24"/>
          <w:szCs w:val="24"/>
        </w:rPr>
        <w:t>tomar todas las medidas que sean pertinentes para tutelar y hacer eficaz un derecho</w:t>
      </w:r>
      <w:r w:rsidRPr="00877AE6">
        <w:rPr>
          <w:rFonts w:ascii="Palatino Linotype" w:hAnsi="Palatino Linotype" w:cs="Arial"/>
          <w:sz w:val="24"/>
          <w:szCs w:val="24"/>
        </w:rPr>
        <w:t>”.</w:t>
      </w:r>
      <w:r w:rsidRPr="00877AE6">
        <w:rPr>
          <w:rStyle w:val="Refdenotaalpie"/>
          <w:rFonts w:ascii="Palatino Linotype" w:hAnsi="Palatino Linotype" w:cs="Arial"/>
          <w:sz w:val="24"/>
          <w:szCs w:val="24"/>
        </w:rPr>
        <w:footnoteReference w:id="1"/>
      </w:r>
    </w:p>
    <w:p w:rsidR="00877AE6" w:rsidRP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0935F9">
      <w:pPr>
        <w:pStyle w:val="Prrafodelista"/>
        <w:numPr>
          <w:ilvl w:val="0"/>
          <w:numId w:val="2"/>
        </w:numPr>
        <w:spacing w:after="0" w:line="360" w:lineRule="auto"/>
        <w:ind w:left="0" w:firstLine="0"/>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“Artículo 185. El instituto resolverá el recurso de revisión conforme a lo siguiente:</w:t>
      </w: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xml:space="preserve">(…) </w:t>
      </w: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xml:space="preserve">V. La o el Comisionado ponente podrá determinar la celebración de audiencias con las partes durante la sustanciación del proceso. </w:t>
      </w:r>
    </w:p>
    <w:p w:rsidR="008F4D79" w:rsidRPr="008F4D79" w:rsidRDefault="00877AE6" w:rsidP="008F4D79">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w:t>
      </w:r>
    </w:p>
    <w:p w:rsidR="00877AE6" w:rsidRPr="00877AE6" w:rsidRDefault="00877AE6" w:rsidP="000935F9">
      <w:pPr>
        <w:pStyle w:val="Prrafodelista"/>
        <w:numPr>
          <w:ilvl w:val="0"/>
          <w:numId w:val="2"/>
        </w:numPr>
        <w:spacing w:after="0" w:line="360" w:lineRule="auto"/>
        <w:ind w:left="0" w:firstLine="0"/>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R</w:t>
      </w:r>
      <w:r w:rsidRPr="00877AE6">
        <w:rPr>
          <w:rFonts w:ascii="Palatino Linotype" w:hAnsi="Palatino Linotype" w:cs="Arial"/>
          <w:sz w:val="24"/>
          <w:szCs w:val="24"/>
        </w:rPr>
        <w:t xml:space="preserve">esolutora </w:t>
      </w:r>
      <w:r w:rsidR="00630412">
        <w:rPr>
          <w:rFonts w:ascii="Palatino Linotype" w:hAnsi="Palatino Linotype" w:cs="Arial"/>
          <w:sz w:val="24"/>
          <w:szCs w:val="24"/>
        </w:rPr>
        <w:t xml:space="preserve">–insisto–, </w:t>
      </w:r>
      <w:r w:rsidRPr="00877AE6">
        <w:rPr>
          <w:rFonts w:ascii="Palatino Linotype" w:hAnsi="Palatino Linotype" w:cs="Arial"/>
          <w:sz w:val="24"/>
          <w:szCs w:val="24"/>
        </w:rPr>
        <w:t>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sin dejarlo al arbitrio del sujeto obligado, efectuando dicho análisis atendiendo a lo establecido en el artículo 182 de la ley en la materia, donde se señala </w:t>
      </w:r>
      <w:r w:rsidRPr="00877AE6">
        <w:rPr>
          <w:rFonts w:ascii="Palatino Linotype" w:hAnsi="Palatino Linotype" w:cs="Arial"/>
          <w:sz w:val="24"/>
          <w:szCs w:val="24"/>
        </w:rPr>
        <w:lastRenderedPageBreak/>
        <w:t xml:space="preserve">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6A35A5" w:rsidRPr="00301086" w:rsidRDefault="00FE083B" w:rsidP="000935F9">
      <w:pPr>
        <w:pStyle w:val="Prrafodelista"/>
        <w:widowControl w:val="0"/>
        <w:numPr>
          <w:ilvl w:val="0"/>
          <w:numId w:val="43"/>
        </w:numPr>
        <w:tabs>
          <w:tab w:val="left" w:pos="0"/>
          <w:tab w:val="left" w:pos="426"/>
        </w:tabs>
        <w:autoSpaceDE w:val="0"/>
        <w:autoSpaceDN w:val="0"/>
        <w:adjustRightInd w:val="0"/>
        <w:spacing w:after="0" w:line="360" w:lineRule="auto"/>
        <w:ind w:left="0" w:right="49" w:firstLine="0"/>
        <w:contextualSpacing w:val="0"/>
        <w:jc w:val="both"/>
        <w:rPr>
          <w:rFonts w:ascii="Palatino Linotype" w:eastAsia="Calibri" w:hAnsi="Palatino Linotype" w:cs="Arial"/>
          <w:sz w:val="24"/>
          <w:szCs w:val="24"/>
        </w:rPr>
      </w:pPr>
      <w:r>
        <w:rPr>
          <w:rFonts w:ascii="Palatino Linotype" w:hAnsi="Palatino Linotype" w:cs="Arial"/>
          <w:sz w:val="24"/>
          <w:szCs w:val="24"/>
        </w:rPr>
        <w:t>Ahora bien, por lo que hace a este caso particular y a manera de conclusión, considero que</w:t>
      </w:r>
      <w:r w:rsidR="00DD319E">
        <w:rPr>
          <w:rFonts w:ascii="Palatino Linotype" w:hAnsi="Palatino Linotype" w:cs="Arial"/>
          <w:sz w:val="24"/>
          <w:szCs w:val="24"/>
        </w:rPr>
        <w:t xml:space="preserve"> no</w:t>
      </w:r>
      <w:r>
        <w:rPr>
          <w:rFonts w:ascii="Palatino Linotype" w:hAnsi="Palatino Linotype" w:cs="Arial"/>
          <w:sz w:val="24"/>
          <w:szCs w:val="24"/>
        </w:rPr>
        <w:t xml:space="preserve"> 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r w:rsidR="006A35A5">
        <w:rPr>
          <w:rFonts w:ascii="Palatino Linotype" w:hAnsi="Palatino Linotype" w:cs="Arial"/>
          <w:sz w:val="24"/>
          <w:szCs w:val="24"/>
        </w:rPr>
        <w:t xml:space="preserve"> Por tanto, considero que a</w:t>
      </w:r>
      <w:r w:rsidR="006A35A5" w:rsidRPr="009A3225">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6B1AC1" w:rsidRPr="009219A8" w:rsidRDefault="006B1AC1" w:rsidP="009219A8">
      <w:pPr>
        <w:spacing w:after="0" w:line="360" w:lineRule="auto"/>
        <w:jc w:val="both"/>
        <w:rPr>
          <w:rFonts w:ascii="Palatino Linotype" w:eastAsia="Calibri" w:hAnsi="Palatino Linotype" w:cs="Arial"/>
          <w:sz w:val="24"/>
          <w:szCs w:val="24"/>
        </w:rPr>
      </w:pPr>
    </w:p>
    <w:p w:rsidR="000D5AEA" w:rsidRPr="00877AE6" w:rsidRDefault="000D5AEA" w:rsidP="000D5AEA">
      <w:pPr>
        <w:spacing w:line="360" w:lineRule="auto"/>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9219A8" w:rsidRDefault="000D5AEA" w:rsidP="009219A8">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p w:rsidR="009219A8" w:rsidRDefault="009219A8" w:rsidP="006B1AC1">
      <w:pPr>
        <w:jc w:val="center"/>
        <w:rPr>
          <w:rFonts w:ascii="Palatino Linotype" w:eastAsia="Calibri" w:hAnsi="Palatino Linotype" w:cs="Arial"/>
          <w:b/>
          <w:color w:val="0D0D0D" w:themeColor="text1" w:themeTint="F2"/>
          <w:sz w:val="24"/>
          <w:szCs w:val="24"/>
        </w:rPr>
      </w:pPr>
      <w:r>
        <w:rPr>
          <w:rFonts w:ascii="Palatino Linotype" w:eastAsia="Calibri" w:hAnsi="Palatino Linotype" w:cs="Arial"/>
          <w:b/>
          <w:color w:val="0D0D0D" w:themeColor="text1" w:themeTint="F2"/>
          <w:sz w:val="24"/>
          <w:szCs w:val="24"/>
        </w:rPr>
        <w:t>(Rúbrica)</w:t>
      </w:r>
    </w:p>
    <w:p w:rsidR="006B1AC1" w:rsidRPr="006B1AC1" w:rsidRDefault="006B1AC1" w:rsidP="006B1AC1">
      <w:pPr>
        <w:jc w:val="center"/>
        <w:rPr>
          <w:rFonts w:ascii="Palatino Linotype" w:eastAsia="Calibri" w:hAnsi="Palatino Linotype" w:cs="Arial"/>
          <w:b/>
          <w:color w:val="0D0D0D" w:themeColor="text1" w:themeTint="F2"/>
          <w:sz w:val="24"/>
          <w:szCs w:val="24"/>
        </w:rPr>
      </w:pPr>
    </w:p>
    <w:p w:rsidR="006A35A5" w:rsidRPr="002E2A10" w:rsidRDefault="002E2A10" w:rsidP="007D5A8B">
      <w:pPr>
        <w:rPr>
          <w:rFonts w:ascii="Palatino Linotype" w:eastAsia="Calibri" w:hAnsi="Palatino Linotype" w:cs="Times New Roman"/>
          <w:b/>
          <w:color w:val="0D0D0D" w:themeColor="text1" w:themeTint="F2"/>
          <w:sz w:val="24"/>
          <w:szCs w:val="24"/>
        </w:rPr>
      </w:pPr>
      <w:r w:rsidRPr="002E2A10">
        <w:rPr>
          <w:rFonts w:ascii="Palatino Linotype" w:eastAsia="Calibri" w:hAnsi="Palatino Linotype" w:cs="Times New Roman"/>
          <w:b/>
          <w:color w:val="0D0D0D" w:themeColor="text1" w:themeTint="F2"/>
          <w:sz w:val="24"/>
          <w:szCs w:val="24"/>
        </w:rPr>
        <w:t>JGLH/MPBR</w:t>
      </w:r>
    </w:p>
    <w:sectPr w:rsidR="006A35A5" w:rsidRPr="002E2A10"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34E" w:rsidRDefault="0000434E" w:rsidP="00E82D3D">
      <w:pPr>
        <w:spacing w:after="0" w:line="240" w:lineRule="auto"/>
      </w:pPr>
      <w:r>
        <w:separator/>
      </w:r>
    </w:p>
  </w:endnote>
  <w:endnote w:type="continuationSeparator" w:id="0">
    <w:p w:rsidR="0000434E" w:rsidRDefault="0000434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4EB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4EBE">
              <w:rPr>
                <w:b/>
                <w:bCs/>
                <w:noProof/>
              </w:rPr>
              <w:t>12</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34E" w:rsidRDefault="0000434E" w:rsidP="00E82D3D">
      <w:pPr>
        <w:spacing w:after="0" w:line="240" w:lineRule="auto"/>
      </w:pPr>
      <w:r>
        <w:separator/>
      </w:r>
    </w:p>
  </w:footnote>
  <w:footnote w:type="continuationSeparator" w:id="0">
    <w:p w:rsidR="0000434E" w:rsidRDefault="0000434E"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0043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0043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0043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83707D"/>
    <w:multiLevelType w:val="hybridMultilevel"/>
    <w:tmpl w:val="1EE6AB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7202FA"/>
    <w:multiLevelType w:val="hybridMultilevel"/>
    <w:tmpl w:val="7E422DE6"/>
    <w:lvl w:ilvl="0" w:tplc="54189E1C">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2"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2"/>
  </w:num>
  <w:num w:numId="2">
    <w:abstractNumId w:val="28"/>
  </w:num>
  <w:num w:numId="3">
    <w:abstractNumId w:val="30"/>
  </w:num>
  <w:num w:numId="4">
    <w:abstractNumId w:val="36"/>
  </w:num>
  <w:num w:numId="5">
    <w:abstractNumId w:val="32"/>
  </w:num>
  <w:num w:numId="6">
    <w:abstractNumId w:val="34"/>
  </w:num>
  <w:num w:numId="7">
    <w:abstractNumId w:val="26"/>
  </w:num>
  <w:num w:numId="8">
    <w:abstractNumId w:val="5"/>
  </w:num>
  <w:num w:numId="9">
    <w:abstractNumId w:val="0"/>
  </w:num>
  <w:num w:numId="10">
    <w:abstractNumId w:val="18"/>
  </w:num>
  <w:num w:numId="11">
    <w:abstractNumId w:val="24"/>
  </w:num>
  <w:num w:numId="12">
    <w:abstractNumId w:val="6"/>
  </w:num>
  <w:num w:numId="13">
    <w:abstractNumId w:val="29"/>
  </w:num>
  <w:num w:numId="14">
    <w:abstractNumId w:val="43"/>
  </w:num>
  <w:num w:numId="15">
    <w:abstractNumId w:val="2"/>
  </w:num>
  <w:num w:numId="16">
    <w:abstractNumId w:val="10"/>
  </w:num>
  <w:num w:numId="17">
    <w:abstractNumId w:val="38"/>
  </w:num>
  <w:num w:numId="18">
    <w:abstractNumId w:val="21"/>
  </w:num>
  <w:num w:numId="19">
    <w:abstractNumId w:val="25"/>
  </w:num>
  <w:num w:numId="20">
    <w:abstractNumId w:val="37"/>
  </w:num>
  <w:num w:numId="21">
    <w:abstractNumId w:val="42"/>
  </w:num>
  <w:num w:numId="22">
    <w:abstractNumId w:val="27"/>
  </w:num>
  <w:num w:numId="23">
    <w:abstractNumId w:val="15"/>
  </w:num>
  <w:num w:numId="24">
    <w:abstractNumId w:val="12"/>
  </w:num>
  <w:num w:numId="25">
    <w:abstractNumId w:val="23"/>
  </w:num>
  <w:num w:numId="26">
    <w:abstractNumId w:val="17"/>
  </w:num>
  <w:num w:numId="27">
    <w:abstractNumId w:val="11"/>
  </w:num>
  <w:num w:numId="28">
    <w:abstractNumId w:val="8"/>
  </w:num>
  <w:num w:numId="29">
    <w:abstractNumId w:val="7"/>
  </w:num>
  <w:num w:numId="30">
    <w:abstractNumId w:val="4"/>
  </w:num>
  <w:num w:numId="31">
    <w:abstractNumId w:val="19"/>
  </w:num>
  <w:num w:numId="32">
    <w:abstractNumId w:val="3"/>
  </w:num>
  <w:num w:numId="33">
    <w:abstractNumId w:val="14"/>
  </w:num>
  <w:num w:numId="34">
    <w:abstractNumId w:val="41"/>
  </w:num>
  <w:num w:numId="35">
    <w:abstractNumId w:val="39"/>
  </w:num>
  <w:num w:numId="36">
    <w:abstractNumId w:val="20"/>
  </w:num>
  <w:num w:numId="37">
    <w:abstractNumId w:val="31"/>
  </w:num>
  <w:num w:numId="38">
    <w:abstractNumId w:val="9"/>
  </w:num>
  <w:num w:numId="39">
    <w:abstractNumId w:val="13"/>
  </w:num>
  <w:num w:numId="40">
    <w:abstractNumId w:val="35"/>
  </w:num>
  <w:num w:numId="41">
    <w:abstractNumId w:val="16"/>
  </w:num>
  <w:num w:numId="42">
    <w:abstractNumId w:val="40"/>
  </w:num>
  <w:num w:numId="43">
    <w:abstractNumId w:val="33"/>
  </w:num>
  <w:num w:numId="4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0434E"/>
    <w:rsid w:val="000137B8"/>
    <w:rsid w:val="000143E4"/>
    <w:rsid w:val="00014859"/>
    <w:rsid w:val="00022833"/>
    <w:rsid w:val="00032D26"/>
    <w:rsid w:val="00056DE9"/>
    <w:rsid w:val="0007170E"/>
    <w:rsid w:val="00073647"/>
    <w:rsid w:val="000935F9"/>
    <w:rsid w:val="00096CC2"/>
    <w:rsid w:val="000B2BC8"/>
    <w:rsid w:val="000C6443"/>
    <w:rsid w:val="000D5AEA"/>
    <w:rsid w:val="000F1AD8"/>
    <w:rsid w:val="00102360"/>
    <w:rsid w:val="00102A9E"/>
    <w:rsid w:val="001134A2"/>
    <w:rsid w:val="001240A5"/>
    <w:rsid w:val="0014534B"/>
    <w:rsid w:val="00146C7D"/>
    <w:rsid w:val="00160B22"/>
    <w:rsid w:val="001744A9"/>
    <w:rsid w:val="001759E6"/>
    <w:rsid w:val="00187610"/>
    <w:rsid w:val="001B19B4"/>
    <w:rsid w:val="001B2A38"/>
    <w:rsid w:val="001D51C6"/>
    <w:rsid w:val="001E4EBD"/>
    <w:rsid w:val="001E7FE3"/>
    <w:rsid w:val="00245FAB"/>
    <w:rsid w:val="00270A82"/>
    <w:rsid w:val="0027188D"/>
    <w:rsid w:val="002E00FE"/>
    <w:rsid w:val="002E2A10"/>
    <w:rsid w:val="002E3ED2"/>
    <w:rsid w:val="002F79FF"/>
    <w:rsid w:val="00315A31"/>
    <w:rsid w:val="003246CE"/>
    <w:rsid w:val="003258B6"/>
    <w:rsid w:val="00334204"/>
    <w:rsid w:val="00362134"/>
    <w:rsid w:val="00376456"/>
    <w:rsid w:val="00384DBA"/>
    <w:rsid w:val="00391ECE"/>
    <w:rsid w:val="003B64F7"/>
    <w:rsid w:val="003C416E"/>
    <w:rsid w:val="003D1DF8"/>
    <w:rsid w:val="004137A7"/>
    <w:rsid w:val="004505EE"/>
    <w:rsid w:val="00466F45"/>
    <w:rsid w:val="00474F5A"/>
    <w:rsid w:val="0048628E"/>
    <w:rsid w:val="004B0239"/>
    <w:rsid w:val="004E1262"/>
    <w:rsid w:val="004F15BB"/>
    <w:rsid w:val="005556CA"/>
    <w:rsid w:val="00573FEE"/>
    <w:rsid w:val="0057636B"/>
    <w:rsid w:val="00581E2F"/>
    <w:rsid w:val="00586D5D"/>
    <w:rsid w:val="00597AB4"/>
    <w:rsid w:val="005C544A"/>
    <w:rsid w:val="005E38D6"/>
    <w:rsid w:val="005F30BC"/>
    <w:rsid w:val="00617ACF"/>
    <w:rsid w:val="006257F0"/>
    <w:rsid w:val="00630412"/>
    <w:rsid w:val="00630750"/>
    <w:rsid w:val="006577B9"/>
    <w:rsid w:val="00687050"/>
    <w:rsid w:val="006A35A5"/>
    <w:rsid w:val="006B1AC1"/>
    <w:rsid w:val="006F0A01"/>
    <w:rsid w:val="006F7748"/>
    <w:rsid w:val="00707317"/>
    <w:rsid w:val="00733E65"/>
    <w:rsid w:val="0079319A"/>
    <w:rsid w:val="00797A31"/>
    <w:rsid w:val="007A5C1B"/>
    <w:rsid w:val="007D037D"/>
    <w:rsid w:val="007D5A8B"/>
    <w:rsid w:val="007F564A"/>
    <w:rsid w:val="008039E7"/>
    <w:rsid w:val="00807E40"/>
    <w:rsid w:val="0081508B"/>
    <w:rsid w:val="00835E85"/>
    <w:rsid w:val="00877AE6"/>
    <w:rsid w:val="008C2121"/>
    <w:rsid w:val="008F4D79"/>
    <w:rsid w:val="008F7805"/>
    <w:rsid w:val="00902FFF"/>
    <w:rsid w:val="00905472"/>
    <w:rsid w:val="009109B4"/>
    <w:rsid w:val="00912F71"/>
    <w:rsid w:val="009219A8"/>
    <w:rsid w:val="0098322D"/>
    <w:rsid w:val="009A2D39"/>
    <w:rsid w:val="009B22A4"/>
    <w:rsid w:val="009C382C"/>
    <w:rsid w:val="009D7DC0"/>
    <w:rsid w:val="009E333A"/>
    <w:rsid w:val="00A0789D"/>
    <w:rsid w:val="00A112DF"/>
    <w:rsid w:val="00A13BDF"/>
    <w:rsid w:val="00A530ED"/>
    <w:rsid w:val="00A61EE4"/>
    <w:rsid w:val="00A640C7"/>
    <w:rsid w:val="00A7073D"/>
    <w:rsid w:val="00A766F3"/>
    <w:rsid w:val="00A93DB3"/>
    <w:rsid w:val="00AB44E1"/>
    <w:rsid w:val="00AC66DC"/>
    <w:rsid w:val="00B31280"/>
    <w:rsid w:val="00B418D3"/>
    <w:rsid w:val="00B44BEB"/>
    <w:rsid w:val="00B46FD7"/>
    <w:rsid w:val="00B5044C"/>
    <w:rsid w:val="00B9285A"/>
    <w:rsid w:val="00BB488C"/>
    <w:rsid w:val="00C06F53"/>
    <w:rsid w:val="00C20346"/>
    <w:rsid w:val="00C3434E"/>
    <w:rsid w:val="00C54EBE"/>
    <w:rsid w:val="00C71CD0"/>
    <w:rsid w:val="00C743FE"/>
    <w:rsid w:val="00C753D8"/>
    <w:rsid w:val="00CA2B8E"/>
    <w:rsid w:val="00CB73E4"/>
    <w:rsid w:val="00CC7CC1"/>
    <w:rsid w:val="00CF0462"/>
    <w:rsid w:val="00CF69A6"/>
    <w:rsid w:val="00D214EE"/>
    <w:rsid w:val="00D27518"/>
    <w:rsid w:val="00D7079B"/>
    <w:rsid w:val="00D70E0E"/>
    <w:rsid w:val="00DD14BB"/>
    <w:rsid w:val="00DD319E"/>
    <w:rsid w:val="00DE0E07"/>
    <w:rsid w:val="00DE7A32"/>
    <w:rsid w:val="00E01FB8"/>
    <w:rsid w:val="00E06302"/>
    <w:rsid w:val="00E20DC1"/>
    <w:rsid w:val="00E20E86"/>
    <w:rsid w:val="00E220D0"/>
    <w:rsid w:val="00E235A7"/>
    <w:rsid w:val="00E32640"/>
    <w:rsid w:val="00E37324"/>
    <w:rsid w:val="00E452DC"/>
    <w:rsid w:val="00E469EB"/>
    <w:rsid w:val="00E57622"/>
    <w:rsid w:val="00E75A3B"/>
    <w:rsid w:val="00E82D3D"/>
    <w:rsid w:val="00EA1463"/>
    <w:rsid w:val="00EB7577"/>
    <w:rsid w:val="00EE326E"/>
    <w:rsid w:val="00EF1A34"/>
    <w:rsid w:val="00F01325"/>
    <w:rsid w:val="00F1435E"/>
    <w:rsid w:val="00F16AB7"/>
    <w:rsid w:val="00F17708"/>
    <w:rsid w:val="00F30EE8"/>
    <w:rsid w:val="00F354D8"/>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3721">
      <w:bodyDiv w:val="1"/>
      <w:marLeft w:val="0"/>
      <w:marRight w:val="0"/>
      <w:marTop w:val="0"/>
      <w:marBottom w:val="0"/>
      <w:divBdr>
        <w:top w:val="none" w:sz="0" w:space="0" w:color="auto"/>
        <w:left w:val="none" w:sz="0" w:space="0" w:color="auto"/>
        <w:bottom w:val="none" w:sz="0" w:space="0" w:color="auto"/>
        <w:right w:val="none" w:sz="0" w:space="0" w:color="auto"/>
      </w:divBdr>
    </w:div>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DF2A-B2E2-4982-A249-E77DE6F9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2093</Words>
  <Characters>11516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2019-06-17T22:12:00Z</cp:lastPrinted>
  <dcterms:created xsi:type="dcterms:W3CDTF">2019-07-09T22:16:00Z</dcterms:created>
  <dcterms:modified xsi:type="dcterms:W3CDTF">2019-07-09T22:16:00Z</dcterms:modified>
</cp:coreProperties>
</file>